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struktūrfondu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Kohēzijas fonda 2014.–2020. gada plānošanas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perioda vadības likuma 20. panta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deleģējumu, uz kura pamata izdoti Ministru kabineta 2017.gada 22.augusta noteikumi Nr. 495 "Darbības programmas "Izaugsme un nodarbinātība" 4.3.1.specifiskā atbalsta mērķa “Veicināt energoefektivitāti un vietējo AER izmantošanu centralizētajā siltumapgādē” otrās un trešās projektu iesniegumu atlases kārtas īstenošanas noteikumi” (turpmāk – MK noteikumi Nr.495), ar Eiropas Savienības struktūrfondu un Kohēzijas fonda 2014.—2020.gada plānošanas perioda vadības likuma 20. panta 6. punktu. Vienlaikus lūdzam papildināt arī anotācijas 1.1.sadaļas apakšsadaļu “Apraksts” ar informāciju par deleģējumu, uz kura pamata izdoti MK noteikumi Nr.495.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deleģējums papildināts ar Eiropas Savienības struktūrfondu un Kohēzijas fonda 2014.—2020.gada plānošanas perioda vadības likuma 20. panta 6. punktu, līdzvērtīgi papildināta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ietvertie grozījumi attiecas uz 15.1.1. specifisko atbalsta mērķi “Atbalsta pasākumi centralizētās siltumapgādes jomā” (mazaizsargāto mājsaimniecību centralizētā siltumapgāde), kā arī ir citi punkti MK noteikumos, kas faktiski esošajā situācijā uz konkrētajiem grozījumiem pēc būtības neattieksies, lūdzam papildināt anotāciju sadaļā "Cita informācija"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projekta anotācijas ietvaros skaidrojam, ka MK noteikumos ietvertās normas uz papildus iekļauto centralizētās siltumapgādes atbalsta pasākumu ir piemērojamas tik tālu, cik tālu tās pēc būtības ir aktuālas esošajā atbalsta īstenošanās fāzē, tas ir, ņemot vērā, ka atbalsts jau ir faktiski izsniegts, tad normas, kas regulē, piemēram, projekta ietvaros iespējamo avansa izmaksu nav pēc būtības aktuālas un attiecināmas. Līdzīgi pēc būtības nav attiecināmas iepirkuma procedūru veikšanas normas, ņemot vērā, ka projektā faktiski netiek veikta iepirkuma procedūra kā tāda. Minētie nosacījumi ir (bija) piemērojami uz tiem atbalstiem un atlases kārtām, kur tas attiecināms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punkts papildināts ar FM norādīto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papildu Kohēzijas fonda finansējumu 60 000 000 euro apmērā mazaizsargāto mājsaimniecību centralizētās siltumapgādes atlases nodrošināšanai, lūdzam aizpildīt anotācijas 3.sadaļu atbilstoši piedāvātajai redakcijai, atspoguļojot projekta ietekmi uz valsts budžeta ieņēmumiem konkrētajā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60 000 000 euro apmērā kompensēs no valsts budžeta 2022.gadā izmaksāto finansējumu energoresursu cenu kāpuma kompensācijām.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FM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risinājumu, kas paredz, ka Centrālā finanšu un līgumu aģentūra kā Eiropas Savienības fondu sadarbības iestāde drīkst slēgt projekta īstenošanas līgumu ar Būvniecības valsts kontroles biroju par visu ierobežotas atlases ietvaros plānoto finansējumu. Vienlaikus tiek ņemts vērā, ka projekta īstenošanas ietvaros paredzētais finansējums un tā sadalījums pa finansēšanas avotiem var tik precizēts, ņemot vērā faktisko progresu Eiropas Savienības fondu īstenošanā, t.sk. atbrīvoto Eiropas Savienības fondu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lēmuma projekta 3. punkta pirmo teikumu, ņemot vērā, ka no noteikumu projekta jau izriet attiecīgs regulējums un nav nepieciešams vēl atsevišķi paust atbalstu šādam risinājumam, turklāt attiecīgu atbalstu plānots paust arī Ministru kabineta rīkojuma projekta "Grozījums Ministru kabineta 2015. gada 4. februāra rīkojumā Nr. 62 "Par Eiropas Savienības struktūrfondu un Kohēzijas fonda 2014.–2020.gada plānošanas perioda darbības programmu "Izaugsme un nodarbinātība"" (23-TA-2324)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punkts svītrots pilnībā. Atbilstoši FM sniegtam skaidrojumam, norādītās normas ir dublējošas.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Mazaizsargāto mājsaimniecību centralizētās siltumapgādes atlases ietvaros mērķis ir samazināt mazaizsargāto mājsaimniecību 2022./2023. gada sezonas centrālās apkures rēķinus.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skaidru tiesību normu izklāstu, sākotnēji paredzot, kāds ir 15.1.1. specifiskā atbalsta mērķa mērķis, secīgi paredzot, ka minēto specifiskā atbalsta mērķi īsteno ierobežotas projektu iesniegumu atlases kārtībā, jo šobrīd nav saprotams, vai minēto specifiskā atbalsta mērķi paredzēts sasniegt ar vairākām atlases kārtās un vai pilnībā sakrīt šī mērķa un konkrētās atlases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w:t>
            </w:r>
            <w:r w:rsidR="00000000" w:rsidRPr="00000000" w:rsidDel="00000000">
              <w:rPr>
                <w:vertAlign w:val="superscript"/>
                <w:rtl w:val="0"/>
              </w:rPr>
              <w:t xml:space="preserve">1 </w:t>
            </w:r>
            <w:r w:rsidR="00000000" w:rsidRPr="00000000" w:rsidDel="00000000">
              <w:rPr>
                <w:rtl w:val="0"/>
              </w:rPr>
              <w:t xml:space="preserve">punktu par atlases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Mazaizsargāto mājsaimniecību centralizētās siltumapgādes mērķis ir samazināt mazaizsargāto mājsaimniecību 2022./2023. gada sezonas centrālās apkures rēķinus.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līdz 2023. gada 31. decembrim mazaizsargāto mājsaimniecību centralizētās siltumapgādes atlases ietvaros sasniedzamais iznākuma rādītājs - aktivitāšu vērtība  mazāk aizsargāto mājsaimniecību (ar ienākumiem uz vienu locekli zem vidējā valstī) enerģijas patēriņa izmaksu segšanai – 60 000 000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10.4. apakšpunktu ar 10. punkta ievaddaļu, kā arī nepieciešamības gadījumā papildināt noteikumu projekta 10. punktu mazaizsargāto mājsaimniecību centralizētās siltumapgādes atlases ietvaros sasniedzamajiem rezultāta rādītājiem un to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10.</w:t>
            </w:r>
            <w:r w:rsidR="00000000" w:rsidRPr="00000000" w:rsidDel="00000000">
              <w:rPr>
                <w:vertAlign w:val="superscript"/>
                <w:rtl w:val="0"/>
              </w:rPr>
              <w:t xml:space="preserve">1 </w:t>
            </w:r>
            <w:r w:rsidR="00000000" w:rsidRPr="00000000" w:rsidDel="00000000">
              <w:rPr>
                <w:rtl w:val="0"/>
              </w:rPr>
              <w:t xml:space="preserve">punktu attiecībā uz rādītājiem un to vērtībām, kas jāsasniedz specifiski mazaizsargāto mājsaimniecību centralizētās siltumapgādes atlases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Mazaizsargāto mājsaimniecību centralizētās siltumapgādes atlases ietvaros atbalstāmās darbības ir enerģijas izmaksu segšana un energoresursu cenu kāpuma kompensācija, kā arī finansējuma saņēmēja projekta vadības un īstenošanas personāla atlīdzības izmaksas atbilstoši fiksētās summas maksājuma metodoloģijas aprakstā norādītajam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projektā ietverto Ministru kabineta 2017. gada 22. augusta noteikumu Nr. 495 "Darbības programmas "Izaugsme un nodarbinātība" 4.3.1. specifiskā atbalsta mērķa "Veicināt energoefektivitāti un vietējo AER izmantošanu centralizētajā siltumapgādē" otrās un trešās projektu iesniegumu atlases kārtas īstenošanas noteikumi"" 2. pielikumu, kas pirmšķietami nesatur vispārsaistošus uzvedības noteikumus (tiesību normas), bet gan vienīgi skaidrojumu, proti, informācijas kopumu (tostarp arī iekopētu likuma regulējumu, skaidrojumu par uzraudzības kārtību u.tml., kas neattiecas uz maksājuma metodoloģiju u.tml.). Ierosinām attiecīgo informāciju ietvert noteikumu projekta anotācijā, savukārt noteikumu projektā paredzēt vienīgi tiesību normas - prasības, nosacījumus u.c. saistībā ar fiksētās summas maksājumu, tostarp apmēriem u.tml., nepieciešamības gadījumā atsaucoties uz Energoresursu cenu ārkārtēja pieauguma samazinājuma pasākumu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laikā ar FM, TM kolēģiem panākta vienošanās par noteikumu projekta 2. pielikuma saturu. Vienlaikus arī anotācijā skaidrota 2. pielikuma nepieciešamība, kā arī konkrēti izvēlētais dokumenta veids - Ministru kabineta noteikumu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Atbilstoši Mazaizsargāto mājsaimniecību centralizētās siltumapgādes atlases ietvaros enerģijas izmaksu segšanas un energoresursu cenu kāpuma kompensēšanas, kā arī finansējuma saņēmēja projekta vadības un īstenošanas personāla atlīdzības izmaksu vienreizējā maksājuma metodikai (2. pielikums) atbalstāmās darbības ir enerģijas izmaksu segšana un energoresursu cenu kāpuma kompensēšana, kā arī finansējuma saņēmēja projekta vadība un īstenošanas personāla atlīdzības izmaksa.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Mazaizsargāto mājsaimniecību centralizētās siltumapgādes atlases ietvaros atbalstāmās darbības ir enerģijas izmaksu segšana un energoresursu cenu kāpuma kompensācija, kā arī finansējuma saņēmēja projekta vadības un īstenošanas personāla atlīdzības izmaksas atbilstoši fiksētās summas maksājuma metodoloģijas aprakstā norādītajam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projektam mazaizsargāto mājsaimniecību centralizētās siltumapgādes atlases ietvaros atbalstāmās darbības un attiecināmās izmaksas ir šobrīd norādītas identiski, tomēr pēc būtības energoresursu cenu kāpuma kompensēšana un enerģijas izmaksu segšana varētu būt atbalstāmās darbības, savukārt izdevumus veido konkrētas izmaksu pozīcijas, kas atbilst izdevumiem, kuri rodas attiecīgo atbalstāmo darbību ietvaros, piemēram, enerģijas izmaksas (vai to daļa) un energoresursu cenu kāpuma kompensācija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w:t>
            </w:r>
            <w:r w:rsidR="00000000" w:rsidRPr="00000000" w:rsidDel="00000000">
              <w:rPr>
                <w:vertAlign w:val="superscript"/>
                <w:rtl w:val="0"/>
              </w:rPr>
              <w:t xml:space="preserve">2 </w:t>
            </w:r>
            <w:r w:rsidR="00000000" w:rsidRPr="00000000" w:rsidDel="00000000">
              <w:rPr>
                <w:rtl w:val="0"/>
              </w:rPr>
              <w:t xml:space="preserve">punkts attiecībā uz atbalstāmajām darbībām un 24. punkts attiecībā uz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Atbilstoši Mazaizsargāto mājsaimniecību centralizētās siltumapgādes atlases ietvaros enerģijas izmaksu segšanas un energoresursu cenu kāpuma kompensēšanas, kā arī finansējuma saņēmēja projekta vadības un īstenošanas personāla atlīdzības izmaksu vienreizējā maksājuma metodikai (2. pielikums) atbalstāmās darbības ir enerģijas izmaksu segšana un energoresursu cenu kāpuma kompensēšana, kā arī finansējuma saņēmēja projekta vadība un īstenošanas personāla atlīdzības izmaksa.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īstenošanas ietvaros nepieciešamās iepirkumu procedūras tiek veiktas saskaņā ar normatīvo aktu prasībām iepirkumu procedūras jomā, īstenojot atklātu, pārredzamu, nediskriminējošu un konkurenci nodrošinošu konkursa procedūru. Atbalstāma ir arī vides prasību integrācija preču, pakalpojumu un būvdarbu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un 33. 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un 33. 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īstenošanas ietvaros nepieciešamās iepirkumu procedūras tiek veiktas saskaņā ar normatīvo aktu prasībām iepirkumu procedūras jomā, īstenojot atklātu, pārredzamu, nediskriminējošu un konkurenci nodrošinošu konkursa procedūru. Atbalstāma ir arī vides prasību integrācija preču, pakalpojumu un būvdarbu iepirkumos - zaļais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atbalsts specifiskā atbalsta un atlases kārtu ietvaros tiek piešķirts saskaņā ar Komisijas regulu Nr. </w:t>
            </w:r>
            <w:r w:rsidR="00000000" w:rsidRPr="00000000" w:rsidDel="00000000">
              <w:rPr>
                <w:rtl w:val="0"/>
              </w:rPr>
              <w:t xml:space="preserve">1407/2013</w:t>
            </w:r>
            <w:r w:rsidR="00000000" w:rsidRPr="00000000" w:rsidDel="00000000">
              <w:rPr>
                <w:rtl w:val="0"/>
              </w:rPr>
              <w:t xml:space="preserve">, sadarbības iestāde pārliecinās par finansējuma saņēmējam piešķirto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1407/2013</w:t>
            </w:r>
            <w:r w:rsidR="00000000" w:rsidRPr="00000000" w:rsidDel="00000000">
              <w:rPr>
                <w:rtl w:val="0"/>
              </w:rPr>
              <w:t xml:space="preserve"> 6. panta 3. punktam un informē finansējuma saņēmēju par iespējamo atbalsta summu atbilstoši Komisijas regulas Nr. </w:t>
            </w:r>
            <w:r w:rsidR="00000000" w:rsidRPr="00000000" w:rsidDel="00000000">
              <w:rPr>
                <w:rtl w:val="0"/>
              </w:rPr>
              <w:t xml:space="preserve">1407/2013</w:t>
            </w:r>
            <w:r w:rsidR="00000000" w:rsidRPr="00000000" w:rsidDel="00000000">
              <w:rPr>
                <w:rtl w:val="0"/>
              </w:rPr>
              <w:t xml:space="preserve"> 6. panta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nodrošinot, ka ir konsekventi skaidri nodalīts regulējums, kas attiecas uz 4.3.1. specifiskā atbalsta mērķa  un 15.1.1. specifiskā atbalsta mērķa īstenošanu. Norādām, ka vairākos gadījumos noteikumu projektā, tai skaitā 58. punktā u.c., tekstuāli regulējums ir attiecināms uz abu minēto specifisko atbalsta mērķu īstenošanu, kas varētu būt pretrunā ar attiecīgā regulējuma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redakcionāli precizēts, tai skaitā precizēts VI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atbalsts specifiskā atbalsta un otrās un trešās atlases kārtas ietvaros tiek piešķirts saskaņā ar Komisijas regulu Nr. </w:t>
            </w:r>
            <w:r w:rsidR="00000000" w:rsidRPr="00000000" w:rsidDel="00000000">
              <w:rPr>
                <w:rtl w:val="0"/>
              </w:rPr>
              <w:t xml:space="preserve">1407/2013</w:t>
            </w:r>
            <w:r w:rsidR="00000000" w:rsidRPr="00000000" w:rsidDel="00000000">
              <w:rPr>
                <w:rtl w:val="0"/>
              </w:rPr>
              <w:t xml:space="preserve">, sadarbības iestāde pārliecinās par finansējuma saņēmējam piešķirto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1407/2013</w:t>
            </w:r>
            <w:r w:rsidR="00000000" w:rsidRPr="00000000" w:rsidDel="00000000">
              <w:rPr>
                <w:rtl w:val="0"/>
              </w:rPr>
              <w:t xml:space="preserve"> 6. panta 3. punktam un informē finansējuma saņēmēju par iespējamo atbalsta summu atbilstoši Komisijas regulas Nr. </w:t>
            </w:r>
            <w:r w:rsidR="00000000" w:rsidRPr="00000000" w:rsidDel="00000000">
              <w:rPr>
                <w:rtl w:val="0"/>
              </w:rPr>
              <w:t xml:space="preserve">1407/2013</w:t>
            </w:r>
            <w:r w:rsidR="00000000" w:rsidRPr="00000000" w:rsidDel="00000000">
              <w:rPr>
                <w:rtl w:val="0"/>
              </w:rPr>
              <w:t xml:space="preserve"> 6. panta 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Fiksētās summas maksājuma metodoloģijas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35. punktā nodrošināt, ka ir atrunāti visi šajā punktā (attiecīgo noteikumu 2. pielikumā) lietotie saīsinājumi pirmajā to lietošanas reizē, piemēram, CSP (lūdzam arī izvairīties no abreviatūru lietošanas, kuras nav vispārzināmas), Darbības programma, Regula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23-TA-1215</w:t>
    </w:r>
    <w:r>
      <w:br/>
    </w:r>
    <w:r w:rsidR="00000000" w:rsidRPr="00000000" w:rsidDel="00000000">
      <w:rPr>
        <w:rtl w:val="0"/>
      </w:rPr>
      <w:t xml:space="preserve">06.10.2023. 12.17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23-TA-1215</w:t>
    </w:r>
    <w:r>
      <w:br/>
    </w:r>
    <w:r w:rsidR="00000000" w:rsidRPr="00000000" w:rsidDel="00000000">
      <w:rPr>
        <w:rtl w:val="0"/>
      </w:rPr>
      <w:t xml:space="preserve">06.10.2023. 12.17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Izziņa_23-TA-1215.docx</dc:title>
</cp:coreProperties>
</file>

<file path=docProps/custom.xml><?xml version="1.0" encoding="utf-8"?>
<Properties xmlns="http://schemas.openxmlformats.org/officeDocument/2006/custom-properties" xmlns:vt="http://schemas.openxmlformats.org/officeDocument/2006/docPropsVTypes"/>
</file>