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DE22A6" w14:textId="77777777" w:rsidR="008E55D8" w:rsidRDefault="00000000">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930"/>
        <w:gridCol w:w="3685"/>
        <w:gridCol w:w="5812"/>
        <w:gridCol w:w="1390"/>
      </w:tblGrid>
      <w:tr w:rsidR="008E55D8" w14:paraId="08619388" w14:textId="77777777" w:rsidTr="003C3DE6">
        <w:tc>
          <w:tcPr>
            <w:tcW w:w="750" w:type="dxa"/>
            <w:shd w:val="clear" w:color="auto" w:fill="FFFFFF"/>
            <w:noWrap/>
            <w:tcMar>
              <w:top w:w="75" w:type="dxa"/>
              <w:left w:w="75" w:type="dxa"/>
              <w:bottom w:w="75" w:type="dxa"/>
              <w:right w:w="75" w:type="dxa"/>
            </w:tcMar>
            <w:vAlign w:val="center"/>
          </w:tcPr>
          <w:p w14:paraId="1AE40250" w14:textId="77777777" w:rsidR="008E55D8" w:rsidRDefault="00000000">
            <w:pPr>
              <w:jc w:val="center"/>
            </w:pPr>
            <w:proofErr w:type="spellStart"/>
            <w:r>
              <w:rPr>
                <w:b/>
              </w:rPr>
              <w:t>Nr.p.k</w:t>
            </w:r>
            <w:proofErr w:type="spellEnd"/>
            <w:r>
              <w:rPr>
                <w:b/>
              </w:rPr>
              <w:t>.</w:t>
            </w:r>
          </w:p>
        </w:tc>
        <w:tc>
          <w:tcPr>
            <w:tcW w:w="2930" w:type="dxa"/>
            <w:shd w:val="clear" w:color="auto" w:fill="FFFFFF"/>
            <w:noWrap/>
            <w:tcMar>
              <w:top w:w="75" w:type="dxa"/>
              <w:left w:w="75" w:type="dxa"/>
              <w:bottom w:w="75" w:type="dxa"/>
              <w:right w:w="75" w:type="dxa"/>
            </w:tcMar>
            <w:vAlign w:val="center"/>
          </w:tcPr>
          <w:p w14:paraId="38397FE5" w14:textId="77777777" w:rsidR="008E55D8" w:rsidRDefault="00000000">
            <w:pPr>
              <w:jc w:val="center"/>
            </w:pPr>
            <w:r>
              <w:rPr>
                <w:b/>
              </w:rPr>
              <w:t>Iebilduma / priekšlikuma iesniedzējs</w:t>
            </w:r>
          </w:p>
        </w:tc>
        <w:tc>
          <w:tcPr>
            <w:tcW w:w="3685" w:type="dxa"/>
            <w:shd w:val="clear" w:color="auto" w:fill="FFFFFF"/>
            <w:noWrap/>
            <w:tcMar>
              <w:top w:w="75" w:type="dxa"/>
              <w:left w:w="75" w:type="dxa"/>
              <w:bottom w:w="75" w:type="dxa"/>
              <w:right w:w="75" w:type="dxa"/>
            </w:tcMar>
            <w:vAlign w:val="center"/>
          </w:tcPr>
          <w:p w14:paraId="10EC3CF3" w14:textId="77777777" w:rsidR="008E55D8" w:rsidRDefault="00000000">
            <w:pPr>
              <w:jc w:val="center"/>
            </w:pPr>
            <w:r>
              <w:rPr>
                <w:b/>
              </w:rPr>
              <w:t>Iesniegtā iebilduma / priekšlikuma būtība</w:t>
            </w:r>
          </w:p>
        </w:tc>
        <w:tc>
          <w:tcPr>
            <w:tcW w:w="5812" w:type="dxa"/>
            <w:shd w:val="clear" w:color="auto" w:fill="FFFFFF"/>
            <w:noWrap/>
            <w:tcMar>
              <w:top w:w="75" w:type="dxa"/>
              <w:left w:w="75" w:type="dxa"/>
              <w:bottom w:w="75" w:type="dxa"/>
              <w:right w:w="75" w:type="dxa"/>
            </w:tcMar>
            <w:vAlign w:val="center"/>
          </w:tcPr>
          <w:p w14:paraId="51EAF810" w14:textId="77777777" w:rsidR="008E55D8" w:rsidRDefault="00000000">
            <w:pPr>
              <w:jc w:val="center"/>
            </w:pPr>
            <w:r>
              <w:rPr>
                <w:b/>
              </w:rPr>
              <w:t>Ņemts vērā / nav ņemts vērā</w:t>
            </w:r>
          </w:p>
        </w:tc>
        <w:tc>
          <w:tcPr>
            <w:tcW w:w="1390" w:type="dxa"/>
            <w:shd w:val="clear" w:color="auto" w:fill="FFFFFF"/>
            <w:noWrap/>
            <w:tcMar>
              <w:top w:w="75" w:type="dxa"/>
              <w:left w:w="75" w:type="dxa"/>
              <w:bottom w:w="75" w:type="dxa"/>
              <w:right w:w="75" w:type="dxa"/>
            </w:tcMar>
            <w:vAlign w:val="center"/>
          </w:tcPr>
          <w:p w14:paraId="3E3B6A16" w14:textId="77777777" w:rsidR="008E55D8" w:rsidRDefault="00000000">
            <w:pPr>
              <w:jc w:val="center"/>
            </w:pPr>
            <w:r>
              <w:rPr>
                <w:b/>
              </w:rPr>
              <w:t>Pamatojums, ja iebildums / priekšlikums nav ņemts vērā</w:t>
            </w:r>
          </w:p>
        </w:tc>
      </w:tr>
      <w:tr w:rsidR="008E55D8" w14:paraId="786B122F" w14:textId="77777777" w:rsidTr="003C3DE6">
        <w:tc>
          <w:tcPr>
            <w:tcW w:w="750" w:type="dxa"/>
            <w:shd w:val="clear" w:color="auto" w:fill="FFFFFF"/>
            <w:noWrap/>
            <w:tcMar>
              <w:top w:w="75" w:type="dxa"/>
              <w:left w:w="75" w:type="dxa"/>
              <w:bottom w:w="75" w:type="dxa"/>
              <w:right w:w="75" w:type="dxa"/>
            </w:tcMar>
            <w:vAlign w:val="center"/>
          </w:tcPr>
          <w:p w14:paraId="22656B1A" w14:textId="77777777" w:rsidR="008E55D8" w:rsidRDefault="00000000">
            <w:pPr>
              <w:jc w:val="center"/>
            </w:pPr>
            <w:r>
              <w:t>1.</w:t>
            </w:r>
          </w:p>
        </w:tc>
        <w:tc>
          <w:tcPr>
            <w:tcW w:w="2930" w:type="dxa"/>
            <w:shd w:val="clear" w:color="auto" w:fill="FFFFFF"/>
            <w:noWrap/>
            <w:tcMar>
              <w:top w:w="75" w:type="dxa"/>
              <w:left w:w="75" w:type="dxa"/>
              <w:bottom w:w="75" w:type="dxa"/>
              <w:right w:w="75" w:type="dxa"/>
            </w:tcMar>
            <w:vAlign w:val="center"/>
          </w:tcPr>
          <w:p w14:paraId="27CA7BBF" w14:textId="77777777" w:rsidR="008E55D8" w:rsidRDefault="00000000">
            <w:pPr>
              <w:jc w:val="left"/>
            </w:pPr>
            <w:r>
              <w:t>Latvijas Pilsoniskā alianse</w:t>
            </w:r>
          </w:p>
        </w:tc>
        <w:tc>
          <w:tcPr>
            <w:tcW w:w="3685" w:type="dxa"/>
            <w:shd w:val="clear" w:color="auto" w:fill="FFFFFF"/>
            <w:noWrap/>
            <w:tcMar>
              <w:top w:w="75" w:type="dxa"/>
              <w:left w:w="75" w:type="dxa"/>
              <w:bottom w:w="75" w:type="dxa"/>
              <w:right w:w="75" w:type="dxa"/>
            </w:tcMar>
            <w:vAlign w:val="center"/>
          </w:tcPr>
          <w:p w14:paraId="1DFA03D0" w14:textId="77777777" w:rsidR="008E55D8" w:rsidRDefault="00000000">
            <w:pPr>
              <w:jc w:val="left"/>
            </w:pPr>
            <w:r>
              <w:t xml:space="preserve">Biedrība “Latvijas Pilsoniskā alianse” (turpmāk – LPA) ir iepazinusies ar Izglītības un zinātnes ministrijas virzītajiem īstenošanas noteikumiem Eiropas Savienības Kohēzijas politikas programmas 2021. – 2027. gadam 4.2.2. specifiskā atbalsta mērķa "Uzlabot izglītības un mācību sistēmu kvalitāti, </w:t>
            </w:r>
            <w:proofErr w:type="spellStart"/>
            <w:r>
              <w:t>iekļautību</w:t>
            </w:r>
            <w:proofErr w:type="spellEnd"/>
            <w:r>
              <w:t xml:space="preserve">, efektivitāti un nozīmīgumu darba tirgū, tostarp ar neformālās un </w:t>
            </w:r>
            <w:proofErr w:type="spellStart"/>
            <w:r>
              <w:t>ikdienējās</w:t>
            </w:r>
            <w:proofErr w:type="spellEnd"/>
            <w:r>
              <w:t xml:space="preserve"> mācīšanās validēšanas palīdzību, lai atbalstītu </w:t>
            </w:r>
            <w:proofErr w:type="spellStart"/>
            <w:r>
              <w:t>pamatkompetenču</w:t>
            </w:r>
            <w:proofErr w:type="spellEnd"/>
            <w:r>
              <w:t xml:space="preserve">, tostarp uzņēmējdarbības un </w:t>
            </w:r>
            <w:r>
              <w:lastRenderedPageBreak/>
              <w:t>digitālo prasmju, apguvi, un sekmējot duālo mācību sistēmu un māceklības ieviešanu" 4.2.2.1. pasākumam "Kvalitatīvas un mūsdienīgas izglītības īstenošana pirmsskolas, pamata un vidējās izglītības pakāpē" un sniedz atzinumu.</w:t>
            </w:r>
            <w:r>
              <w:br/>
              <w:t xml:space="preserve">Augsti novērtējam Izglītības un zinātnes ministrijas plānu veicināt  pilsoniskās līdzdalības prasmes skolēnu un pirmskolas vecuma bērnu vidū, piešķirot tam Eiropas Sociālā fonda finansējumu. Tomēr nav skaidrs, kā tieši plānots ieviest programmu, tādēļ lūdzam Izglītības un zinātnes ministriju paskaidrot, kādēļ tiek  apvienotas STEAM un pilsoniskās līdzdalības jomas vienā programmā ar nosaukumu “STEAM skolas soma”, ņemot vērā, ka abas jomas būtiski atšķiras. Tāpat arī plānotās programmas nosaukums “STEAM skola </w:t>
            </w:r>
            <w:r>
              <w:lastRenderedPageBreak/>
              <w:t>soma” nekādā veidā neatspoguļo pilsoniskās līdzdalības aspektu un ietekmes mērķi, kas aprakstīts likumprojektā: “[…] paredzams, ka paaugstināsies jauniešu izpratne par pilsonisko līdzdalību, kā arī plašāka izpratne un piekļuve līdzdalības iespējām praktiski dažādām bērnu un jauniešu grupām, t.sk., jauniešiem ar ierobežotām iespējām.” Attiecīgi programmas nosaukums var radīt maldīgu priekštatu par programmā īstenotajām aktivitātēm.</w:t>
            </w:r>
            <w:r>
              <w:br/>
              <w:t xml:space="preserve">Izstrādātajā redakcijā, kā projekta sadarbības partneri tiek minētas tikai pašvaldību iestādes. Taču nevalstiskās organizācijas ilgstoši veic pilsoniskās kompetences stiprināšanas aktivitātes, tai skaitā ieviešot skolās dažādas pilsoniskās izglītības programmas, ilgstoši sadarbojas ar izglītības </w:t>
            </w:r>
            <w:r>
              <w:lastRenderedPageBreak/>
              <w:t>iestādēm un aktīvi veicina pilsoniskās līdzdalības prasmju attīstīšanu jauniešu vidū atbilstoši valsts izglītības standartos noteiktajam. Aicinām paredzēt, ka aktivitātes var iesniegt, tai skaitā kā sadarbības partneri var būt arī biedrības un nodibinājumi, kā arī aicinām iesaistīt organizācijas jaunās programmas izstrādē. Papildus būtiski ir paredzēt, ka Skolas somas programmas var piedāvāt biedrības un nodibinājumi.</w:t>
            </w:r>
            <w:r>
              <w:br/>
              <w:t xml:space="preserve">LPA apliecina gatavību sadarboties Eiropas Savienības Kohēzijas politikas programmas 2021. – 2027. gadam 4.2.2.1. pasākuma "Kvalitatīvas un mūsdienīgas izglītības īstenošana pirmsskolas, pamata un vidējās izglītības pakāpē" īstenošanas noteikumu izstrādes turpmākajā procesā, informējot un konsultējot, kā arī </w:t>
            </w:r>
            <w:r>
              <w:lastRenderedPageBreak/>
              <w:t xml:space="preserve">apkopojot organizāciju pārstāvju viedokļus. Aicinām informēt politikas koordinatori Anci </w:t>
            </w:r>
            <w:proofErr w:type="spellStart"/>
            <w:r>
              <w:t>Mālkalnu</w:t>
            </w:r>
            <w:proofErr w:type="spellEnd"/>
            <w:r>
              <w:t xml:space="preserve"> ance@nvo.lv par šī procesa tālāku virzību.</w:t>
            </w:r>
            <w:r>
              <w:br/>
            </w:r>
          </w:p>
        </w:tc>
        <w:tc>
          <w:tcPr>
            <w:tcW w:w="5812" w:type="dxa"/>
            <w:shd w:val="clear" w:color="auto" w:fill="FFFFFF"/>
            <w:noWrap/>
            <w:tcMar>
              <w:top w:w="75" w:type="dxa"/>
              <w:left w:w="75" w:type="dxa"/>
              <w:bottom w:w="75" w:type="dxa"/>
              <w:right w:w="75" w:type="dxa"/>
            </w:tcMar>
            <w:vAlign w:val="center"/>
          </w:tcPr>
          <w:p w14:paraId="1B7BC3BB" w14:textId="34D451B5" w:rsidR="008E55D8" w:rsidRDefault="00C654B7">
            <w:pPr>
              <w:jc w:val="left"/>
            </w:pPr>
            <w:r>
              <w:lastRenderedPageBreak/>
              <w:t>Ņemts vērā</w:t>
            </w:r>
            <w:r w:rsidR="003C3DE6">
              <w:t>:</w:t>
            </w:r>
          </w:p>
          <w:p w14:paraId="76109F9E" w14:textId="097E733D" w:rsidR="003C3DE6" w:rsidRDefault="003C3DE6" w:rsidP="003C3DE6">
            <w:pPr>
              <w:pStyle w:val="ListParagraph"/>
              <w:numPr>
                <w:ilvl w:val="0"/>
                <w:numId w:val="1"/>
              </w:numPr>
              <w:jc w:val="left"/>
            </w:pPr>
            <w:r>
              <w:t>anotācija tiek precizēta, svītrojot “STEAM skola soma”, kas saīsinājumā apzīmēja gan STEAM jomu, gan pilsonisko līdzdalību, ņemot vērā, ka pasākuma ieviešanas mehānisms plānots līdzīgi, kā pašvaldībām un skolām jau pazīstamajā valsts budžeta kultūrizglītības programmā “Latvijas Skolas soma”. Vienlaikus skaidrojam, ka 4.2.2.1 pasākums “</w:t>
            </w:r>
            <w:r w:rsidRPr="00D46817">
              <w:t>Kvalitatīvas un mūsdienīgas izglītības īstenošana pirmsskolas, pamata un vidējās izglītības pakāpē”</w:t>
            </w:r>
            <w:r>
              <w:t xml:space="preserve"> (turpmāk – 4.2.2.1. pasākums) paredz atbalstu izglītojamajiem ārpus skolas/ klases/ mācību stundu pasākumu, norišu apmeklējumam, nodrošinot plašāku STEM un pilsoniskās līdzdalības pieredzi </w:t>
            </w:r>
            <w:r>
              <w:lastRenderedPageBreak/>
              <w:t xml:space="preserve">saistībā ar apgūstamo STEM mācību jomas mācību saturu un pilsoniskās līdzdalības caurviju kompetenci. Ņemot vērā to, ka būtiski veicināt agrīnu izpratni un interesi gan STEM jomā, gan pilsoniskās līdzdalības veicināšanai, atbalsts paredz divus virzienus: a) STEM, b) pilsoniskā līdzdalība. </w:t>
            </w:r>
            <w:r w:rsidR="006318C4" w:rsidRPr="006318C4">
              <w:t>STEM un pilsoniskā līdzdalība ir apvienotas tikai idejiski, bet ne saturiski. Proti, vienā pasākumā šie aspekti ir salikti kopā, lai rastu finansējumu abām vajadzībām paplašinātās pieredzes nodrošināšanā. Tas nozīmē, ka skolēniem gada laikā būs iespēja apmeklēt gan STEM norises, gan pilsoniskās līdzdalības norises</w:t>
            </w:r>
            <w:r w:rsidR="006318C4">
              <w:t>.</w:t>
            </w:r>
          </w:p>
          <w:p w14:paraId="1B710999" w14:textId="0F41B9EA" w:rsidR="003C3DE6" w:rsidRDefault="003C3DE6" w:rsidP="003C3DE6">
            <w:pPr>
              <w:pStyle w:val="ListParagraph"/>
              <w:numPr>
                <w:ilvl w:val="0"/>
                <w:numId w:val="1"/>
              </w:numPr>
              <w:jc w:val="left"/>
            </w:pPr>
            <w:r>
              <w:t xml:space="preserve">Biedrības un nodibinājumi, kas darbojas pilsoniskās līdzdalības jomā, ir aicināti iesaistīties norišu nodrošināšanā pilsoniskās līdzdalības izpratnes un intereses veicināšanai. Skaidrojam, ka mērķa grupa ir izglītojamie, un mērķis ir sniegt plašāku mācīšanās pieredzi izglītojamajiem saistībā ar apgūstamo mācību saturu. Mācību satura īstenošanu nodrošina izglītības iestādes. Lielāko daļu izglītības iestāžu dibinātājas ir pašvaldības. Lai mazinātu administratīvo slogu projekta iesniegumu sagatavošanā, projektu iesniegumu atlasē, projektu </w:t>
            </w:r>
            <w:r>
              <w:lastRenderedPageBreak/>
              <w:t xml:space="preserve">īstenošanā, maksājumu pieprasījumu sagatavošanā un izmaksu attiecināšanā, </w:t>
            </w:r>
            <w:r w:rsidRPr="00892562">
              <w:t>Eiropas Savienības fondu 2021.—2027. gada plānošanas perioda vadības likum</w:t>
            </w:r>
            <w:r>
              <w:t>a izpratnē projekta finansējuma saņēmējs ir valsts pārvaldes iestāde (VISC), sadarbības partneri – pašvaldības un valsts un citu juridisku personu dibinātas izglītības iestādes. Savukārt norišu piedāvātāji projekta īstenošanas laikā var būt a) gan biedrības un nodibinājumi</w:t>
            </w:r>
            <w:r w:rsidR="00280900">
              <w:t xml:space="preserve">, </w:t>
            </w:r>
            <w:r w:rsidR="00415BC6">
              <w:t xml:space="preserve">gan </w:t>
            </w:r>
            <w:r w:rsidR="00280900">
              <w:t>jaunatnes centri</w:t>
            </w:r>
            <w:r>
              <w:t xml:space="preserve"> (pilsoniskās līdzdalības veicināšanai), b) </w:t>
            </w:r>
            <w:r w:rsidR="00415BC6">
              <w:t xml:space="preserve">gan arī </w:t>
            </w:r>
            <w:r w:rsidR="004434C3">
              <w:t>zinātnes</w:t>
            </w:r>
            <w:r>
              <w:t xml:space="preserve"> centri (STEM jomā) </w:t>
            </w:r>
            <w:r w:rsidR="00415BC6">
              <w:t xml:space="preserve">un </w:t>
            </w:r>
            <w:r>
              <w:t xml:space="preserve">c) uzņēmumi, u.c., kas savas specializācijas ietvaros var piedāvāt plašākas mācīšanās pieredzes norises izglītojamajiem a) STEM mācību jomā vai b) pilsoniskās līdzdalības caurviju kompetencē, - savu piedāvājumu saskaņojot ar VISC. Vienlaikus norišu kvalitatīvam un mācību saturā definētajiem sasniedzamajiem rezultātiem atbilstošam piedāvājumam plānots nodrošināt darbnīcas un konsultācijas norišu piedāvātājiem. 4.2.2.1. pasākuma ieviešanas mehānisms paredz, ka biedrības un nodibinājumi, tāpat kā citi norišu piedāvātāji, tiks iesaistīti izglītības nodrošināšanā, piedāvājot plašāku </w:t>
            </w:r>
            <w:r>
              <w:lastRenderedPageBreak/>
              <w:t>pieredzi bērniem un jauniešiem padziļinātai tēmu apguvei, izpratnes veidošanai un intereses veicināšanai. Tiek plānots, ka līdzīgi, kā valsts budžeta programmā “Latvijas Skolas soma” kultūrizglītības veicināšanai, ES fondu projektā tiks piešķirts finansējums izglītojamajiem STEM vai pilsoniskās līdzdalības norišu apmeklēšanai, kas var ietvert gan ieejas biļetes, gan lektoru atlīdzību, gan transporta izmaksas, u.c., kas saistītas ar norises apmeklēšanu un nodrošināšanu, paredzot, ka  no ES fondu projekta līdzekļiem tiek segtas noteikts izmaksu apjoms uz vienu izglītojamo vai norisi.</w:t>
            </w:r>
          </w:p>
        </w:tc>
        <w:tc>
          <w:tcPr>
            <w:tcW w:w="1390" w:type="dxa"/>
            <w:shd w:val="clear" w:color="auto" w:fill="FFFFFF"/>
            <w:noWrap/>
            <w:tcMar>
              <w:top w:w="75" w:type="dxa"/>
              <w:left w:w="75" w:type="dxa"/>
              <w:bottom w:w="75" w:type="dxa"/>
              <w:right w:w="75" w:type="dxa"/>
            </w:tcMar>
            <w:vAlign w:val="center"/>
          </w:tcPr>
          <w:p w14:paraId="5A89ED8D" w14:textId="35F5B863" w:rsidR="0053677F" w:rsidRDefault="0053677F" w:rsidP="003C3DE6">
            <w:pPr>
              <w:pStyle w:val="ListParagraph"/>
              <w:jc w:val="left"/>
            </w:pPr>
          </w:p>
        </w:tc>
      </w:tr>
    </w:tbl>
    <w:p w14:paraId="3EA59EB8" w14:textId="77777777" w:rsidR="00C159CC" w:rsidRDefault="00C159CC"/>
    <w:sectPr w:rsidR="00C159CC">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86D44" w14:textId="77777777" w:rsidR="008A1F24" w:rsidRDefault="008A1F24">
      <w:r>
        <w:separator/>
      </w:r>
    </w:p>
  </w:endnote>
  <w:endnote w:type="continuationSeparator" w:id="0">
    <w:p w14:paraId="3B7CD6F6" w14:textId="77777777" w:rsidR="008A1F24" w:rsidRDefault="008A1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81A98" w14:textId="77777777" w:rsidR="008E55D8" w:rsidRDefault="00000000">
    <w:pPr>
      <w:jc w:val="right"/>
    </w:pPr>
    <w:r>
      <w:rPr>
        <w:sz w:val="24"/>
        <w:szCs w:val="24"/>
      </w:rPr>
      <w:fldChar w:fldCharType="begin"/>
    </w:r>
    <w:r>
      <w:rPr>
        <w:sz w:val="24"/>
        <w:szCs w:val="24"/>
      </w:rPr>
      <w:instrText>PAGE</w:instrText>
    </w:r>
    <w:r>
      <w:rPr>
        <w:sz w:val="24"/>
        <w:szCs w:val="24"/>
      </w:rPr>
      <w:fldChar w:fldCharType="separate"/>
    </w:r>
    <w:r w:rsidR="00433DAA">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AAB0E" w14:textId="77777777" w:rsidR="00B94CFB"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B2FBD" w14:textId="77777777" w:rsidR="008A1F24" w:rsidRDefault="008A1F24">
      <w:r>
        <w:separator/>
      </w:r>
    </w:p>
  </w:footnote>
  <w:footnote w:type="continuationSeparator" w:id="0">
    <w:p w14:paraId="575A6C05" w14:textId="77777777" w:rsidR="008A1F24" w:rsidRDefault="008A1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2EA0C" w14:textId="77777777" w:rsidR="008E55D8" w:rsidRDefault="00000000">
    <w:pPr>
      <w:pStyle w:val="Header"/>
      <w:contextualSpacing w:val="0"/>
    </w:pPr>
    <w:r>
      <w:t>Viedokļu pārskats 23-TA-1285</w:t>
    </w:r>
    <w:r>
      <w:br/>
      <w:t>Izdrukāts 04.09.2024. 14.50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A8647" w14:textId="77777777" w:rsidR="008E55D8" w:rsidRDefault="00000000">
    <w:pPr>
      <w:pStyle w:val="Header"/>
      <w:contextualSpacing w:val="0"/>
    </w:pPr>
    <w:r>
      <w:t>Viedokļu pārskats 23-TA-1285</w:t>
    </w:r>
    <w:r>
      <w:br/>
      <w:t>Izdrukāts 04.09.2024. 14.50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B5955"/>
    <w:multiLevelType w:val="hybridMultilevel"/>
    <w:tmpl w:val="AF8E51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3937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5D8"/>
    <w:rsid w:val="00005491"/>
    <w:rsid w:val="0003573A"/>
    <w:rsid w:val="000935C3"/>
    <w:rsid w:val="00096FB8"/>
    <w:rsid w:val="000C64A7"/>
    <w:rsid w:val="000F3DDF"/>
    <w:rsid w:val="000F4EB3"/>
    <w:rsid w:val="001A0363"/>
    <w:rsid w:val="00250741"/>
    <w:rsid w:val="0028006A"/>
    <w:rsid w:val="00280900"/>
    <w:rsid w:val="002A52C1"/>
    <w:rsid w:val="002B3425"/>
    <w:rsid w:val="002B6F04"/>
    <w:rsid w:val="002C624B"/>
    <w:rsid w:val="002D0E9F"/>
    <w:rsid w:val="002E7C39"/>
    <w:rsid w:val="002F206C"/>
    <w:rsid w:val="00345E7C"/>
    <w:rsid w:val="003A2E97"/>
    <w:rsid w:val="003C3DE6"/>
    <w:rsid w:val="003E0156"/>
    <w:rsid w:val="003F10BA"/>
    <w:rsid w:val="00415BC6"/>
    <w:rsid w:val="00427E0F"/>
    <w:rsid w:val="00433DAA"/>
    <w:rsid w:val="004434C3"/>
    <w:rsid w:val="00467EEC"/>
    <w:rsid w:val="00472A29"/>
    <w:rsid w:val="004E461A"/>
    <w:rsid w:val="004E4AF2"/>
    <w:rsid w:val="004E7191"/>
    <w:rsid w:val="00500420"/>
    <w:rsid w:val="00500F72"/>
    <w:rsid w:val="00507D5B"/>
    <w:rsid w:val="00511031"/>
    <w:rsid w:val="00530FC9"/>
    <w:rsid w:val="0053220D"/>
    <w:rsid w:val="0053677F"/>
    <w:rsid w:val="0056012F"/>
    <w:rsid w:val="0056045A"/>
    <w:rsid w:val="00562044"/>
    <w:rsid w:val="005A73CB"/>
    <w:rsid w:val="005C1A6F"/>
    <w:rsid w:val="005E7687"/>
    <w:rsid w:val="00611A50"/>
    <w:rsid w:val="006318C4"/>
    <w:rsid w:val="00650B0D"/>
    <w:rsid w:val="00697CAC"/>
    <w:rsid w:val="006B069C"/>
    <w:rsid w:val="00706B52"/>
    <w:rsid w:val="00720009"/>
    <w:rsid w:val="007C16A6"/>
    <w:rsid w:val="008070D0"/>
    <w:rsid w:val="00892562"/>
    <w:rsid w:val="008A1F24"/>
    <w:rsid w:val="008B72D5"/>
    <w:rsid w:val="008E55D8"/>
    <w:rsid w:val="00933633"/>
    <w:rsid w:val="009343CB"/>
    <w:rsid w:val="0099123C"/>
    <w:rsid w:val="009C0F81"/>
    <w:rsid w:val="00A433F8"/>
    <w:rsid w:val="00A97E15"/>
    <w:rsid w:val="00AC1338"/>
    <w:rsid w:val="00B810B0"/>
    <w:rsid w:val="00B90DB5"/>
    <w:rsid w:val="00B918F2"/>
    <w:rsid w:val="00B94CFB"/>
    <w:rsid w:val="00B94ED0"/>
    <w:rsid w:val="00BF2F0D"/>
    <w:rsid w:val="00C159CC"/>
    <w:rsid w:val="00C654B7"/>
    <w:rsid w:val="00C8205F"/>
    <w:rsid w:val="00CE2067"/>
    <w:rsid w:val="00CE701F"/>
    <w:rsid w:val="00D1105A"/>
    <w:rsid w:val="00D46817"/>
    <w:rsid w:val="00D64AF5"/>
    <w:rsid w:val="00D67332"/>
    <w:rsid w:val="00D85831"/>
    <w:rsid w:val="00DA03F2"/>
    <w:rsid w:val="00DA48B7"/>
    <w:rsid w:val="00DA603F"/>
    <w:rsid w:val="00DD1B9E"/>
    <w:rsid w:val="00DF4B1D"/>
    <w:rsid w:val="00E00AEF"/>
    <w:rsid w:val="00E10AD6"/>
    <w:rsid w:val="00E246D1"/>
    <w:rsid w:val="00E649FC"/>
    <w:rsid w:val="00E65846"/>
    <w:rsid w:val="00ED116B"/>
    <w:rsid w:val="00FC39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5133D"/>
  <w15:docId w15:val="{0CA62E76-BC46-4A24-9B31-C83956CD9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C654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5</Pages>
  <Words>4172</Words>
  <Characters>2379</Characters>
  <Application>Microsoft Office Word</Application>
  <DocSecurity>0</DocSecurity>
  <Lines>19</Lines>
  <Paragraphs>13</Paragraphs>
  <ScaleCrop>false</ScaleCrop>
  <Company>IZM</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viedoklu_parskats_23-TA-1285.docx</dc:title>
  <dc:creator>Kristīne Grundmane</dc:creator>
  <cp:lastModifiedBy>Kristīne Grundmane</cp:lastModifiedBy>
  <cp:revision>93</cp:revision>
  <dcterms:created xsi:type="dcterms:W3CDTF">2024-09-04T12:12:00Z</dcterms:created>
  <dcterms:modified xsi:type="dcterms:W3CDTF">2024-09-16T12:08:00Z</dcterms:modified>
</cp:coreProperties>
</file>