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25-TA-3127: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"IT rīka izstrāde MVU, GNU, VVU statusu noteikšanai”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13.02.2026. 09:48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(sākot ar 2029.gadu) noteikt projekta ietvaros izstrādātā IT rīka MVU, GNU, VVU statusu noteikšanai uzturēšanas izmaksas ne vairāk kā 75 000 euro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 punktā noteiktas IT rīka MVU, GNU, VVU statusu noteikšanai uzturēšanas izmaksas līdz 75 000 eiro gadā. Nav skaidrs vai šajās izmaksās ir iekļautas arī atbalsta sniedzēju institūciju (ALTUM, LIAA un LAD) informācijas sistēmu uzturēšanas un savietojamības nodrošināšanas izmaksas saistībā ar jaunā IT rīka darbību. Tādejādi pastāv risks, ka noteiktais finansējuma apmērs var nebūt pietiekams jaunā IT rīka uzturēšanai un efektīvai darbībai iesaistīto institūciju informācijas sistēmu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 20.02.2026. 16:32 iesniedza aktuālu citu atzinumu, kurā bija tikai viens priekšlikums, šajā atzinumā izteiktais iebildums nav vēra ņemams.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(sākot ar 2029.gadu) noteikt projekta ietvaros izstrādātā IT rīka MVU, GNU, VVU statusu noteikšanai uzturēšanas izmaksas ne vairāk kā 75 000 euro gadā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jaunais IT rīks plānots kā atsevišķs risinājums, tā integrēšana tieši ietekmētu atbalsta sniedzēju institūciju (LAD, ALTUM, LIAA) esošo informācijas sistēmu darbību un savietojamību. Anotācijā nav iekļauta informācija vai ir veikts izvērtējums par iesaistīto informācijas sistēmu tehniskajām iespējām un integrācijas prasībām, līdz ar to nav garantēta jaunā IT rīka saderība ar minēto institūciju informācijas sistēmām. Bez šāda izvērtējuma pastāv risks ieviest ar institūciju informācijas sistēmām nesavietojamu risinājumu, kas var negatīvi ietekmēt datu apmaiņu, procesu norisi un palielināt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 20.02.2026. 16:32 iesniedza citu aktuālo atzinumu, kurā bija tikai viens priekšlikums, šajā atzinumā izteiktais iebildums nav vēra ņemams.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skaidri norādīts, kā tiks nodrošināta jaunā IT rīka MVU, GNU, VVU statusu noteikšanai izmantošana, proti, vai minētais rīks tiks piedāvāts kā KPVIS integrēts modulis vai kā atsevišķs risinājums, kas integrējams katras iesaistītās iestādes informācijas sistēmā. Šādas informācijas trūkuma dēļ nav iespējams pilnvērtīgi izvērtēt informācijas sistēmu tehniskās prasības, datu apmaiņas kārtību, nepieciešamos resursus un ar ieviešanu saistītās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 20.02.2026. 16:32 iesniedza citu aktuālo atzinumu, kurā bija tikai viens priekšlikums, šajā atzinumā izteiktais iebildums nav vēra ņemams.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statusa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pases 5.3. sadaļa ir papildināta ar plānoto pakalpojumu un izziņā norādīta par koplietošanas pakalpojuma plāna izstrādi sadarbībā ar VARAM, lūdzam kolonā “Norāde uz MK lēmumu par attīstības plānu” iekļaut norādi, ka pakalpojuma analīze un reģistrēšana atbilstoši pakalpojumu pārvaldības politikai tiks īstenota projekta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statusa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projekta pases 5.1.2. sadaļu attiecībā uz ES direktīvām un regulējumu. Norādām, ka šajā sadaļā iekļaujamas tikai tās direktīvas vai regulas, ar kurām tiek noteiktas </w:t>
            </w:r>
            <w:r w:rsidR="00000000" w:rsidRPr="00000000" w:rsidDel="00000000">
              <w:rPr>
                <w:b w:val="1"/>
                <w:rtl w:val="0"/>
              </w:rPr>
              <w:t xml:space="preserve">jaunas prasības</w:t>
            </w:r>
            <w:r w:rsidR="00000000" w:rsidRPr="00000000" w:rsidDel="00000000">
              <w:rPr>
                <w:rtl w:val="0"/>
              </w:rPr>
              <w:t xml:space="preserve"> un kuru ieviešana tiek tieši nodrošināta projekta darbību ietvaros. Atsaucēm jābūt juridiski korektām (norādot konkrēto ES tiesību aktu, nevis nacionālos noteikumus), aktuālām un skaidri pamatotām ar aprakstu par to ieviešanas tvērumu šī projekta ietvaros. Formāla atsauču norāde bez tiešas sasaistes ar projekta aktivitātēm nav uzskatāma par atbilstošu.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statusa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3.3.2. un 3.3.3. punktā norādītie ieguvumu rādītāju sasniegšanas termiņi (2030. un 2031.) pārsniedz MK 04.06.2024. noteikumu Nr.338 36.punktā noteikto projekta īstenošanas maksimālo termiņu. Lūdzam precizēt vai anotācijā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statusa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projekta pases 3.3. sadaļu un nodrošināt, ka katram lietderības aspektam ir definēts vismaz viens atbilstošs projekta ieguvuma rādītājs, kas skaidri atspoguļo projekta radīto pievienoto vērtību un identificē mērķa grupu, kurai ieguvums tiek nodrošināts. Lūdzam aizpildīt 3.3. sadaļas “Datu avots un aktualizēšanas biežums” kolonnu.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statusa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norādīts, ka notikušas "konsultācijas ar citu atbalsta sniedzēju institūciju kolēģiem (</w:t>
            </w:r>
            <w:r w:rsidR="00000000" w:rsidRPr="00000000" w:rsidDel="00000000">
              <w:rPr>
                <w:u w:val="single"/>
                <w:rtl w:val="0"/>
              </w:rPr>
              <w:t xml:space="preserve">LAD</w:t>
            </w:r>
            <w:r w:rsidR="00000000" w:rsidRPr="00000000" w:rsidDel="00000000">
              <w:rPr>
                <w:rtl w:val="0"/>
              </w:rPr>
              <w:t xml:space="preserve">, ALTUM, LIAA)".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5.3. sadaļas "Ietekme uz pārvaldes centralizētām funkcijām un koplietošanas pakalpojumiem" Koplietošanas pakalpojumu lietotāju (institūciju) sarakstā nav iekļauts </w:t>
            </w:r>
            <w:r w:rsidR="00000000" w:rsidRPr="00000000" w:rsidDel="00000000">
              <w:rPr>
                <w:u w:val="single"/>
                <w:rtl w:val="0"/>
              </w:rPr>
              <w:t xml:space="preserve">LAD</w:t>
            </w:r>
            <w:r w:rsidR="00000000" w:rsidRPr="00000000" w:rsidDel="00000000">
              <w:rPr>
                <w:rtl w:val="0"/>
              </w:rPr>
              <w:t xml:space="preserve"> (Lauku atbalsta dienests). Lūdzam skaidrot, vai konsultācijās ar </w:t>
            </w:r>
            <w:r w:rsidR="00000000" w:rsidRPr="00000000" w:rsidDel="00000000">
              <w:rPr>
                <w:u w:val="single"/>
                <w:rtl w:val="0"/>
              </w:rPr>
              <w:t xml:space="preserve">LAD</w:t>
            </w:r>
            <w:r w:rsidR="00000000" w:rsidRPr="00000000" w:rsidDel="00000000">
              <w:rPr>
                <w:rtl w:val="0"/>
              </w:rPr>
              <w:t xml:space="preserve"> secināts, ka iestāde tomēr nav potenciālais risinājuma lietotājs, vai arī būtu nepieciešams papildināt Projekta pases 5.3.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20.02.2026. CFLA iesūtītos precizējumus, Ekonomikas ministrija izsaka priekšlikumu anotācijā iekļaut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 rīks plānots kā atsevišķs risinājums, kas netiks integrēts ar LAD, ALTUM, LIAA u.c. atbalsta sniedzēju esošajām informācijas sistēmām. IT rīku atbalsta sniedzēji un uzņēmumi varēs lietot, izmantojot autentifikācijas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r w:rsidR="00000000" w:rsidRPr="00000000" w:rsidDel="00000000">
              <w:rPr>
                <w:rtl w:val="0"/>
              </w:rPr>
              <w:t xml:space="preserve"> sadaļā noteikts, ka "visām valsts atbalsta piešķīrējiestādēm, lai veicinātu efektivitāti, samazinātu administratīvo slogu un nodrošinātu vienotu pieeju MVU, VVU un GNU vērtēšanā, būs nepieciešams izmantots minēto IT rīku".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obligātuma nosacījumu jaunā IT rīka izmantošanai visām saistītajām valsts iestādēm, kā arī faktoru, ka iestādēm jau var eksistēt savas informācijas sistēmas minēto datu apstrādei, ierosinām papildināt šo nosacījumu ar atrunu, ka iestādei dati nebūs jāvada divās dažādās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realizācijas gaitā lūdzam pievērst īpašu uzmanību datu konsekvencei un datu integritātei, nepieciešamības gadījumā apsverot integrāciju nepieciešamības ar jau esošām citu iestāžu sistēmām valsts atbalsta piešķiršanai.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visām valsts atbalsta piešķīrējiestādēm, lai veicinātu efektivitāti, samazinātu administratīvo slogu un nodrošinātu vienotu pieeju MVU, VVU un GNU vērtēšanā, būs nepieciešams izmantot minēto IT rīku, nodrošinot, ka netiek veikta atkārtota vienu un to pašu datu ievade dažādās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20.01.2026. 12:06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statusu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informāciju par lietotāju skaitu projekta pases 5.1. sadaļā norādīto informāciju – atbilstoši pasākuma 1.3.1.1. īstenošanas nosacījumiem projektā jānorāda "jaunu un modernizētu publisko digitālo pakalpojumu, produktu un procesu lietotāji", kas ir jāsasniedz ne vēlāk kā otrajā kalendāra gadā pēc projekta noslēguma maksājuma veikšanas. Minētais rādītājs ir sasniegts, ja saimnieciskās darbības veicēji, iestādes ir transformējuši savus procesus, balstoties uz digitalizētajiem jaunizveidotajiem vai ievērojami uzlabotajiem valsts procesiem, tai skaitā lietotāji kā datu izmantotāji un datu devēji, kā arī lietotāji, kuri ir attīstījuši savus digitālos produktus, pamatojoties uz valsts pārvaldes risinājumiem vai integrējoties ar valsts platformām un informācijas sistēmām. Norādot uzņēmumu skaitu “500” projekta pases 5.1. sadaļā, šis rādītājs tiek ieskaitīts kā projekta obligāti sasniedzamais rādītājs, kas jāsasniedz ne vēlāk kā otrā kalendārajā gadā pēc projekta noslēguma. Skaidrojam, ka rādītāja vērtībā, balstoties uz finansējuma saņēmēja sniegto informāciju, tiks ieskaitīti tie lietotāji, kas ir integrējuši savus digitālos risinājumus ar projekta ietvaros digitālo risinājumu, piemēram, datu automatizētai apmaiņai. Ņemot vērā, ka rādītāja bāzes vērtība ir 0, ja pirms sistēmas jaunās funkcionalitātes izstrādes, esošajai sistēmai ir bijuši lietotāji, kas turpmāk lieto arī jauno funkcionalitāti, tie tiek ieskaitīti projektā sasniegtā rādītāja vērtībā. Līdz ar to lūdzam norādīt juridisko personu skaitu, kas ne vēlāk kā otrajā kalendāra gadā pēc projekta noslēguma maksājuma veikšanas izmantos projekta rezultātus atbilstoši iepriekš minētajam skaidrojumam un to būs iespējams apliecināt.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pievienot atsauci (**), ka 5.1.1.punktā norādītie lietotāji tiek ieskaitīti 1.3.1.1.pasākuma rezultāta rādītājā “Jaunu un modernizētu publisko digitālo pakalpojumu, produktu un procesu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5.1.1. ir pievienota atsauce par to, ka 5.1.1.punktā norādītie lietotāji tiek ieskaitīti 1.3.1.1.pasākuma rezultāta rādītājā “Jaunu un modernizētu publisko digitālo pakalpojumu, produktu un procesu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tā kā IT rīks MVU, GNU, VVU statusa noteikšanai tiek izstrādāts jomā “Valsts pārvaldes modernizācija”, kura mērķis ir automatizēt un modernizēt IT pakalpojumu tieši valsts pārvaldes pusē un uzņēmumi šo IT rīku varēs lietot bez digitālo risinājumu integrācijas savā pusē, nesaskatām pamatu noteikt, ka 5.1.1. norādītie lietotāji tiek ieskaitīti rezultatīvajā rādītāja tikai tad, ja tie ir integrējuši savus digitālos risinājumus ar projekta ietvaros radīto digitālo risinājumu.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statusu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5.1.punktā lūdzam pievienot atsauci (*), ka projekta kopējais finansējums tiek ieskaitīts ERAF 1.3.1.1.pasākuma iznākuma rādītāja “saimnieciskās darbības veicējiem izstrādāto digitālo pakalpojumu, produktu un procesu vērtība” vērtībā. Atsauce nepieciešama, ņemot vērā Ministru kabineta 04.06.2024. noteikumu Nr.338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(turpmāk – MK noteikumi Nr.338) anotācijā norādīto, ka minētā rādītāja vērtībā tiks ieskaitīts viss to 1.3.1.1. pasākuma ietvaros īstenoto projektu finansējuma apjoms, kuru ietvaros plānots izstrādāt uz saimnieciskās darbības veicējiem vērstus pakalpojumus, produktus vai procesus.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statusu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pases 3.3. ieguvumu un lietderības sadaļu, jo pašreiz norādīts tikai viens projekta ieguvums, lai gan atzīmēti vairāki lietderības aspekti. Nepieciešams nodrošināt, ka katram lietderības aspektam ir definēts vismaz viens atbilstošs projekta ieguvuma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statusu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5.4. sadaļā aicinām izvērtēt, vai projekta īstenošanas rezultātā netiek veidotas vai pilnveidotas datu kopas, kuras būtu izmantojamas arī ārpus tiešajiem pakalpojuma saņēmējiem. Gadījumā, ja sadaļa nav attiecināma, nepieciešams iekļaut norādi “N/A”.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statusu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pases 5.3. sadaļā iekļautais risinājums tiek klasificēts kā koplietošanas pakalpojums, nepieciešams sagatavot koplietošanas pakalpojuma plānu, kurā būtu skaidroti pakalpojuma sniegšanas parametri, pakalpojuma līmeņa prasības (SLA), izvēršanas stratēģija un citi būtiski aspekti https://www.varam.gov.lv/lv/biezak-uzdotie-jautajumi-0#kas-ir-pakalpojuma-limena-vienosanas-nosacijumi-un-saistiba-ar-sla. Aicinām sazināties ar VARAM Pakalpojumu pārvaldības nodaļas speciālistiem metodiskā atbalsta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izstrādāt koplietošanas pakalpojuma plānu sadarbībā ar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statusu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sadaļā nepieciešams nodrošināt norādītā IKT risinājuma reģistrāciju VIRSIS, iekļaujot attiecīgo VIRSIS identifikatoru (ID).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 reģistrācija VIRSIS (ID nr.62482).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statusu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pases 5. sadaļas 5.1.2. punktā iekļautās atsauces uz ES direktīvām/regulām ir atbilstīgas. Skaidrojam, ka šajā sadaļā ir iekļaujamas direktīvas/regulas, ar kurām tiek noteiktas jaunas prasības, kuru ieviešana tiek atbalstīta ar projekta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"IT rīka izstrāde MVU, GNU, VVU statusa noteikšanai" ietvaros izveidotā IT rīka lietotāji būs plašāka sabiedrība - gan atbalsta sniedzēju institūcijas, gan valsts atbalsta pretendenti (ap 500 uzņēmēji gadā), lūdzam papildināt </w:t>
            </w:r>
            <w:r w:rsidR="00000000" w:rsidRPr="00000000" w:rsidDel="00000000">
              <w:rPr>
                <w:b w:val="1"/>
                <w:rtl w:val="0"/>
              </w:rPr>
              <w:t xml:space="preserve">anotācijas risinājuma apraksta sadaļu, kā arī projekta pasi</w:t>
            </w:r>
            <w:r w:rsidR="00000000" w:rsidRPr="00000000" w:rsidDel="00000000">
              <w:rPr>
                <w:rtl w:val="0"/>
              </w:rPr>
              <w:t xml:space="preserve">, ar informāciju par to, ka projekta darbības virzienu ietvaros tiks nodrošināta datu piekļūstamība personām ar invaliditāti un funkcionēšanas ierobežojumiem atbilstoši Apvienoto Nāciju organizācijas Konvencijas par personu ar invaliditāti tiesībām 9.pantā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MK 04.06.2024. noteikumu Nr. 338 [1] 29.4.7. apakšpunkts paredz piekļūstamības testēšanas izmaksas un 29.12. apakšpunkts nosaka horizontālā principa "Vienlīdzība, iekļaušana, nediskriminācija un pamattiesību ievērošana" (turpmāk – HP VINPI) darbību īstenošanas izmaksas kā attiecināmās izmaksas, kā arī nepieciešamību uzkrāt HP VINPI rādītājus projekta īstenošanas gaitā (37.2.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04.06.2024. noteikumi Nr.338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personām  ar invaliditāti vienlīdzīgas iespējas un tiesības, projekta īstenotājs aicināts īstenot horizontālā principa “Vienlīdzība, iekļaušana, nediskriminācija un pamattiesību ievērošana”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personām  ar invaliditāti vienlīdzīgas iespējas un tiesības, projekta īstenotājs aicināts īstenot šādas horizontālā principa “Vienlīdzība, iekļaušana, nediskriminācija un pamattiesību ievērošana”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izstrādājot uz tīmekļvietnes un mobilajām ierīcēm izmantojamus pakalpojumus iedzīvotājiem, tiks nodrošināts piekļūstamības princips un iespēja vienlīdzīgi ar citiem  saņemt pakalpojumu cilvēkiem ar kustību, dzirdes, redzes un garīga rakstura traucējumiem, kā arī cilvēkiem ar zemām digitālajām prasmēm / digitālo pakalpojumu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HP VINPI vadlīniju 1.pielikumu SAM 1.3.1.1. ir mainīta ietekme uz "Nav ietekmes". Saskaņā ar aktuālo 3.1.metodiku, ir jānodrošina tikai viena vispārīgā darbība kādā no jomām (personāls, publicitāte vai iepirkumi), kas tiks nodrošināts.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8.2.sadaļu ar informāciju par horizontālā principa “Vienlīdzība, iekļaušana, nediskriminācija un pamattiesību ievērošana” rādītājiem, kuri ir jāuzkrāj atbilstoši 1.3.1.1. pasākuma MK noteikumu 37.2. apakšpunktam,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1.3.1.1. pasākuma MK noteikumu 37.2. apakšpunktam finansējuma saņēmējam ir pienākums uzkrāt datus par šādiem horizontālā principa “Vienlīdzība, iekļaušana, nediskriminācija un pamattiesību ievērošana” rādītājiem,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konsultatīva rakstura pasākumu skaitu par būvētās vides, informācijas tehnoloģiju risinājumu, informācijas tehnoloģiju piekļūstamību personām ar dažādiem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digitālo pakalpojumu vai programmu skaitu, kur ir veikta informācijas pielāgošana specifiskām lietotāju grupām (personām ar redzes, dzirdes un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īstenošanā tiks ievēroti vispārējie nediskriminācijas principi, kā arī finansējuma saņēmējs ņems vērā prasības attiecībā uz informācijas piekļūstamību.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25-TA-3127</w:t>
    </w:r>
    <w:r>
      <w:br/>
    </w:r>
    <w:r w:rsidR="00000000" w:rsidRPr="00000000" w:rsidDel="00000000">
      <w:rPr>
        <w:rtl w:val="0"/>
      </w:rPr>
      <w:t xml:space="preserve">24.02.2026. 10.53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25-TA-3127</w:t>
    </w:r>
    <w:r>
      <w:br/>
    </w:r>
    <w:r w:rsidR="00000000" w:rsidRPr="00000000" w:rsidDel="00000000">
      <w:rPr>
        <w:rtl w:val="0"/>
      </w:rPr>
      <w:t xml:space="preserve">24.02.2026. 10.53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Izziņa_25-TA-3127.docx</dc:title>
</cp:coreProperties>
</file>

<file path=docProps/custom.xml><?xml version="1.0" encoding="utf-8"?>
<Properties xmlns="http://schemas.openxmlformats.org/officeDocument/2006/custom-properties" xmlns:vt="http://schemas.openxmlformats.org/officeDocument/2006/docPropsVTypes"/>
</file>