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(16.10.2020.)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DG tika minēts un apspriests tas, ka pašvaldībās saskaras ar vairākām situācijām, kur problēmas sastāda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punkts. – ka viensētu apbūvi meža zemēs var veidot platībā ne  mazāku par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solīts šo situāciju atrisināt, bet esošajā MK noteikumu redakcijā tās neparādās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18.jūnija sanāksmē panākta vienošanās, ka VARAM kopā ar Zemkopības ministriju un LPS turpmākā darba procesā sagatavos piedāvājumu regulējumam par viensētu apbūvi mežā pārskatot noteikto minimālo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skatīts ar VARAM 2023. gada 30. novembra rīkojumu Nr. 1-2/155 “Par teritorijas attīstības plānošanas sistēmas pilnveides darba grupas izveidi” izveidotās darba grupas (turpmāk – Darba grupa) 2024.gada 8.februāra sanāksmē un tika nolemts to neiekļaut prioritāri risināmo jautājumu lokā, sekojoši šajā Ministru kabineta 2013.gada 30.aprīļa noteikumu Nr.240 “Vispārīgie teritorijas plānošanas, izmantošanas un apbūves noteikumi” (turpmāk – MKN 240) grozījumu projektā (turpmāk – Grozījumi) tas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plānots izvērtēt nākamajā MKN 240 grozījumu izstrādes posmā, vienojoties ar Zemkopības ministriju un Latvijas Pašvaldību savienību par labāko un atbalstāmāko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Apvienoto Nācijas Organizācijas Konvencijā par personu ar invaliditāti tiesībām noteikto vienlīdzīgu iespēju un nediskrimināciijas principu, kā arī cilvēkam piemītošās cieņas, personīgās patstāvības, tostarp personīgās izvēles brīvības un personas neatkarības ievērošanu, lūdzam veikt šādus grozījumus MK 22.05.2013. noteikumos Nr. 240 “Vispārīgie teritorijas plānošanas, izmantošanas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102.1. punktu šādā redakcijā: “gājēju celiņa platums – ne mazāks par 1,2 m, tā iesegums – no cieta, </w:t>
            </w:r>
            <w:r w:rsidR="00000000" w:rsidRPr="00000000" w:rsidDel="00000000">
              <w:rPr>
                <w:b w:val="1"/>
                <w:rtl w:val="0"/>
              </w:rPr>
              <w:t xml:space="preserve">līdzena</w:t>
            </w:r>
            <w:r w:rsidR="00000000" w:rsidRPr="00000000" w:rsidDel="00000000">
              <w:rPr>
                <w:rtl w:val="0"/>
              </w:rPr>
              <w:t xml:space="preserve"> un jebkuros laikapstākļos neslīdoša materiāla. </w:t>
            </w:r>
            <w:r w:rsidR="00000000" w:rsidRPr="00000000" w:rsidDel="00000000">
              <w:rPr>
                <w:b w:val="1"/>
                <w:rtl w:val="0"/>
              </w:rPr>
              <w:t xml:space="preserve">Savienojuma vietas ir veidotas bez šķēršļiem, vienā līmenī</w:t>
            </w:r>
            <w:r w:rsidR="00000000" w:rsidRPr="00000000" w:rsidDel="00000000">
              <w:rPr>
                <w:rtl w:val="0"/>
              </w:rPr>
              <w:t xml:space="preserve">”. Paskaidrojam, ka šāds risinājums ir nepieciešams cilvēkiem ar kustību traucējumiem, kas izmanto pārvietošanās palīglīdzekļus, lai nodrošinātu drošu pārvietošanos, nepieļaujot izkrišanu uz priekšu no ratiņkrēsla vai paklupšanas, izmantojot citus palīglīdzekļus.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 jaunu punktu 6.5. sadaļā, izsakot šādā redakcijā: “</w:t>
            </w:r>
            <w:r w:rsidR="00000000" w:rsidRPr="00000000" w:rsidDel="00000000">
              <w:rPr>
                <w:b w:val="1"/>
                <w:rtl w:val="0"/>
              </w:rPr>
              <w:t xml:space="preserve">slīpums gājēju celiņam  šķērsgriezumā nedrīkst pārsniegt 3%</w:t>
            </w:r>
            <w:r w:rsidR="00000000" w:rsidRPr="00000000" w:rsidDel="00000000">
              <w:rPr>
                <w:rtl w:val="0"/>
              </w:rPr>
              <w:t xml:space="preserve">”. Paskaidrojam, ka šāds risinājums ir nepieciešams cilvēkiem ar kustību traucējumiem, kas izmanto pārvietošanās palīglīdzekļus, lai nodrošinātu drošu pārvietošanos, nepieļaujot izkrišanu no ratiņkrēsla. Priekšlikums balstīts uz vides piekļūstamības ekspertu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jaunu punktu 6.5. sadaļā, izsakot šādā redakcijā: “</w:t>
            </w:r>
            <w:r w:rsidR="00000000" w:rsidRPr="00000000" w:rsidDel="00000000">
              <w:rPr>
                <w:b w:val="1"/>
                <w:rtl w:val="0"/>
              </w:rPr>
              <w:t xml:space="preserve">gājēju celiņu savienojuma vietas veido vienā līmenī ar ielu vai ar uzbrauktuvi, kas nepārsniedz 5% slīpumu</w:t>
            </w:r>
            <w:r w:rsidR="00000000" w:rsidRPr="00000000" w:rsidDel="00000000">
              <w:rPr>
                <w:rtl w:val="0"/>
              </w:rPr>
              <w:t xml:space="preserve">”. Skaidrojam, ka šāds risinājums padarīs pārvietošanos vieglāku un ērtāku cilvēkiem ratiņkrēslos, vecākiem ar maziem bērniem, cilvēkiem ar velosipēdiem. Līdzīga prasība ir atrunāta MK 1.11.2021. noteikumos Nr. 693. Būvju vispārīgo prasību būvnormatīva LBN 200-21 (turpmāk LBN 200-21) 46.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107.1. punktu ar informāciju par margu augstumiem un atrašanās vietu,  izsakot šādā redakcijā: “gājēju tuneļu uzbrauktuvju </w:t>
            </w:r>
            <w:r w:rsidR="00000000" w:rsidRPr="00000000" w:rsidDel="00000000">
              <w:rPr>
                <w:b w:val="1"/>
                <w:rtl w:val="0"/>
              </w:rPr>
              <w:t xml:space="preserve">abās pusēs paredz margas ar rokturiem divos līmeņos ar augstumu 0,70 metri un 1,1 metrs no grīdas līmeņa</w:t>
            </w:r>
            <w:r w:rsidR="00000000" w:rsidRPr="00000000" w:rsidDel="00000000">
              <w:rPr>
                <w:rtl w:val="0"/>
              </w:rPr>
              <w:t xml:space="preserve">. </w:t>
            </w:r>
            <w:r w:rsidR="00000000" w:rsidRPr="00000000" w:rsidDel="00000000">
              <w:rPr>
                <w:b w:val="1"/>
                <w:rtl w:val="0"/>
              </w:rPr>
              <w:t xml:space="preserve">Uzbrauktuvi aprīko ar apmalēm visā tā garumā 0,1 metra augstumā. Kāpnēm jābūt aprīkotām ar margām 1,1 metrs no grīdas līmeņa</w:t>
            </w:r>
            <w:r w:rsidR="00000000" w:rsidRPr="00000000" w:rsidDel="00000000">
              <w:rPr>
                <w:rtl w:val="0"/>
              </w:rPr>
              <w:t xml:space="preserve">”. Paskaidrojam, ka šāds risinājums ir nepieciešams cilvēkiem ar kustību traucējumiem - 0,7 m cilvēkiem, kas izmanto ratiņkrēslu, 1,1 m - cilvēkiem ar kustību traucējumiem, kas neizmanto ratiņkrēslu, kā arī vecākiem ar maziem bērniem. Līdzīga prasība ir atrunāta LBN 200-21 48.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noteikumu 107.2. punktu šādā redakcijā: “uzbrauktuves platumam jābūt ne mazākam par </w:t>
            </w:r>
            <w:r w:rsidR="00000000" w:rsidRPr="00000000" w:rsidDel="00000000">
              <w:rPr>
                <w:b w:val="1"/>
                <w:rtl w:val="0"/>
              </w:rPr>
              <w:t xml:space="preserve">1 m</w:t>
            </w:r>
            <w:r w:rsidR="00000000" w:rsidRPr="00000000" w:rsidDel="00000000">
              <w:rPr>
                <w:rtl w:val="0"/>
              </w:rPr>
              <w:t xml:space="preserve">”. Paskaidrojam, ka ratiņkrēslu lietotājiem ērts roku satvēriens ir 1 metrs (lai varētu pievilkties aiz margām vienlaicīgi ar abām rokām). Līdzīga prasība ir atrunāta LBN 200-21 44.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107.5 punktu un izteikt šādā redakcijā: “bīstamās vietās un </w:t>
            </w:r>
            <w:r w:rsidR="00000000" w:rsidRPr="00000000" w:rsidDel="00000000">
              <w:rPr>
                <w:b w:val="1"/>
                <w:rtl w:val="0"/>
              </w:rPr>
              <w:t xml:space="preserve">līmeņu maiņas vietās</w:t>
            </w:r>
            <w:r w:rsidR="00000000" w:rsidRPr="00000000" w:rsidDel="00000000">
              <w:rPr>
                <w:rtl w:val="0"/>
              </w:rPr>
              <w:t xml:space="preserve"> izmanto kontrastējošas krāsas marķējumu, atšķi­rīgas krāsas un faktūras ieseguma materiālus, kas viegli uztverami arī cilvēkiem ar redzes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6.7. sadaļu ar jaunu punktu, izsakot šādā redakcijā: “</w:t>
            </w:r>
            <w:r w:rsidR="00000000" w:rsidRPr="00000000" w:rsidDel="00000000">
              <w:rPr>
                <w:b w:val="1"/>
                <w:rtl w:val="0"/>
              </w:rPr>
              <w:t xml:space="preserve">Sabiedriskā transporta pieturvietas ir aprīkotas ar nojumi, ar brīvu vietu zem tās ratiņkrēsla lietotājiem 1,5 metru diametrā. Stiklotas virsmas ir marķētas ar kontrastējošu (tumšs uz gaiša) necaurspīdīgu marķējumu vismaz 0,1 metru platā joslā visā stiklotās norobežojošās konstrukcijas platumā un aptuveni 0,35, 1,4 un 1,6 metru augstumā no grīdas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186. punktu izteikt šādā redakcijā: “Vietās, kur dabas takai ir bīstams slīpums, krauja vai nogāze vai tā tieši ved uz ūdensobjektu vai stāvu krauju, paredz </w:t>
            </w:r>
            <w:r w:rsidR="00000000" w:rsidRPr="00000000" w:rsidDel="00000000">
              <w:rPr>
                <w:b w:val="1"/>
                <w:rtl w:val="0"/>
              </w:rPr>
              <w:t xml:space="preserve">drošas margas divos augstumos 0,7 m un 1,1 m vai aizsargbarjeras 1,1 m augstumā no grīdas līmeņa</w:t>
            </w:r>
            <w:r w:rsidR="00000000" w:rsidRPr="00000000" w:rsidDel="00000000">
              <w:rPr>
                <w:rtl w:val="0"/>
              </w:rPr>
              <w:t xml:space="preserve">”. Šāds risinājums ir nepieciešams cilvēkiem ar kustību traucējumiem, lai droši pārvarētu slīpumu. Šāda prasība ir atrunāta arī LBN 200-21  48., 61. un 70.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 9.3. sadaļu ar jaunu punktu, izsakot šādā redakcijā : “</w:t>
            </w:r>
            <w:r w:rsidR="00000000" w:rsidRPr="00000000" w:rsidDel="00000000">
              <w:rPr>
                <w:b w:val="1"/>
                <w:rtl w:val="0"/>
              </w:rPr>
              <w:t xml:space="preserve">pašvaldību tīmekļa vietnēs ir jānorāda informācija par publiskās atpūtas vietas piekļūstamības risinājumiem personām ar dažāda veida funkcionēšanas traucējumiem</w:t>
            </w:r>
            <w:r w:rsidR="00000000" w:rsidRPr="00000000" w:rsidDel="00000000">
              <w:rPr>
                <w:rtl w:val="0"/>
              </w:rPr>
              <w:t xml:space="preserve">”. Paskaidrojam, ka šāds risinājums ir nepieciešams cilvēkiem ar dažādiem funkcionāliem traucējumiem, kuri plāno apmeklēt publiskās atpūtas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203. punktu šādā redakcijā: “autonovietnēs publiskajā ārtelpā un pie publiskām ēkām paredz speciālas ne mazāk kā 3,5 m platas autostāvvietas personām ar invaliditāti. Autostāvvietas, kas paredzētas personām ar invaliditāti izvieto vistuvāk objektam, </w:t>
            </w:r>
            <w:r w:rsidR="00000000" w:rsidRPr="00000000" w:rsidDel="00000000">
              <w:rPr>
                <w:b w:val="1"/>
                <w:rtl w:val="0"/>
              </w:rPr>
              <w:t xml:space="preserve">nodrošinot cietu, līdzenu un jebkuros laikapstākļos neslīdošu  segumu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visā noteikumu tekstā vārdu “pieejamība” aizstāt ar vārdu “piekļūstamība”. Vēršam uzmanību, ka, atbilstoši Latvijas Zinātņu akadēmijas Terminoloģijas komisijas lēmumam, ārējos un iekšējos normatīvajos aktos tiek lietots termins “piekļūstamība” (no angļu valodas “accessibility”), skatīt Valsts valodas centra izstrādātos terminus šeit: https://termini.gov.lv/kolekcijas/3/skirklis/131.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visā noteikumu tekstā aizstāt terminu “personas ar īpašām vajadzībām” ar “personas ar invaliditāti”, jo visiem cilvēkiem tiesības un pamatvajadzības ir vienādas, gan cilvēkiem ar, gan cilvēkiem bez invaliditātes. Tiesību aktos tiek lietots termins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18. ūlija sanāksmē panākta vienošanās par turpmāko rīcību. Jautājums skatāms Labklājības ministrijai sadarbojoties ar Ekonomikas ministriju, jo tehniskas prasības būvei nav MKN 240 tvēruma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piekļūstamības prasības noteiktas standartā - LVS EN 17210:2021 “Apbūvētas vides pieejamība un izmantojamība. Funkcionālās prasības”, papildus Ekonomikas ministrija, sagatavojot grozījumus Ministru kabineta 2021. gada 19. oktobra noteikumos Nr. 693 "Būvju vispārīgo prasību būvnormatīvs LBN 200-21", papildinās regulējumu iekļaujot vides piekļūstamības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10. jūlija un 18. jūlija sanāksmēs kopā ar Labklājības ministriju panākta vienošanās, ka jautājumi par konkrētu tehnisko rādītāju iekļaušanu normatīvajā regulējumā skatāmi Labklājības ministrijai sadarbojoties ar Ekonomikas ministriju, jo tehniskas prasības būvei nav MKN 240 tvēruma jautājums, bet būvnormatīva un standarta LVS EN 17210:2021 “Apbūvētas vides pieejamība un izmantojamība. Funkcionālās prasības”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gada 10. jūlija un 18. jūlija sanāksmēs kopā ar Labklājības ministriju panākta vienošanās, ka jautājumi par konkrētu tehnisko rādītāju iekļaušanu normatīvajā regulējumā skatāmi Labklājības ministrijai sadarbojoties ar Ekonomikas ministriju, jo tehniskas prasības būvei nav MKN 240 tvēruma jautājums, bet būvnormatīva un standarta LVS EN 17210:2021 “Apbūvētas vides pieejamība un izmantojamība. Funkcionālās prasības”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paredz svītrot no MKN 240 6.6. apakšnodaļu “Gājēju pārejas un tuneļi”. Iebildums un piedāvātā redakcija pēc savas būtības un satura ir atbilstoši būvnormatīvam. 2024. gada 10. jūlija un 18. jūlija sanāksmēs kopā ar Labklājības ministriju panākta vienošanās, ka jautājumi par konkrētu tehnisko rādītāju iekļaušanu normatīvajā regulējumā skatāmi Labklājības ministrijai sadarbojoties ar Ekonomikas ministriju, jo tehniskas prasības būvei nav MKN 240 tvēruma jautājums, bet būvnormatīva un standarta tvērums. Papildinājumi vai precizējumi labākai vides piekļūstamībai iestrādājami Ministru kabineta 2021. gada 19. oktobra noteikumos Nr. 693 “Būvju vispārīgo prasību būvnormatīvs LBN 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Līdzīgi kā par iebildumu Nr. 4, satura ziņā tas atbilst būvnormatīvam un, ja nepieciešams, jārosina Ministru kabineta 2021. gada 19. oktobra noteikumu Nr. 693 “Būvju vispārīgo prasību būvnormatīvs LBN 200-21” pārskatīšana attiecībā vides piekļūstamības prasībām. 2024. gada 10. jūlija un 18. jūlija sanāksmēs kopā ar Labklājības ministriju panākta vienošanās, ka jautājumi par konkrētu tehnisko rādītāju iekļaušanu normatīvajā regulējumā skatāmi Labklājības ministrijai sadarbojoties ar Ekonomikas ministriju, jo tehniskas prasības būvei nav MKN 240 tvēruma jautājums, bet būvnormatīva un standarta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Iebildums un piedāvātā redakcija attiecas uz MKN 240 6.6. apakšnodaļu “Gājēju pārejas un tuneļi”, kuru paredzēts svītrot no MKN 240 satura. Satura ziņā iebildums un piedāvātā redakcija atbilst būvnormatīvam un, ja nepieciešams, jārosina Ministru kabineta 2021. gada 19. oktobra noteikumu Nr. 693 “Būvju vispārīgo prasību būvnormatīvs LBN 200-21” pārskatīšana attiecībā vides piekļūstamības prasībām. 2024. gada 10. jūlija un 18. jūlija sanāksmēs kopā ar Labklājības ministriju panākta vienošanās, ka jautājumi par konkrētu tehnisko rādītāju iekļaušanu normatīvajā regulējumā skatāmi Labklājības ministrijai sadarbojoties ar Ekonomikas ministriju, jo tehniskas prasības būvei nav MKN 240 tvēruma jautājums, bet būvnormatīva un standarta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paredz svītrot MKN 240 6.7. apakšnodaļu “Sabiedriskā transporta pieturvietas”. Sabiedriskā transporta pieturvietu izvietojums tiek noteikts atbilstoši Ministru kabineta 2010. gada 13. jūlija noteikumiem Nr. 634 “Sabiedriskā transporta pakalpojumu organizēšanas kārtība maršrutu tīklā” un tas nav saistīts ar teritorijas plānojumā vai lokālplānojumā noteikto teritorijas izmantošanu ilgtermiņā. Savukārt prasības būvniecībai un vides pieejamībai ir noteiktas Ministru kabineta 2021. gada 19. oktobra noteikumos Nr. 693 “Būvju vispārīgo prasību būvnormatīvs LBN 200-21”. Ministru kabineta 2009. gada 3. februāra noteikumu Nr. 108 “Normatīvo aktu projektu sagatavošanas noteikumi” 3.2. apakšpunkts noteic, ka normatīvajā aktā nedublē augstāka vai tāda paša spēka normatīvā akta tiesību normās ietverto normatīvo regulējumu, kas nozīmē, ka MKN 240 nav jāiekļauj normas, kas dublētu būvnormatīva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MKN 240 186. punkts precizēt atbilstoši iebildumam, vienlaicīgi Noslēguma jautājumos nosakot piecu gadu termiņu, kurā dabas takām jānodrošina atbilstība šo noteikumu 186.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Iebildums neattiecas uz MKN 240 regulējumu. Ministru kabineta 2020. gada 14. jūlija noteikumi Nr. 445 "Kārtība, kādā iestādes ievieto informāciju internetā" nosaka prasības informācijai, kas ievietojama iestādes, tai skaitā pašvaldības, oficiālajā tīmekļvietnē. Minētie noteikumi noteic arī prasības tīmekļvietņu saturam un piekļūstamībai, savukārt šo noteikumu 21.punkts noteic, ka iestāde oficiālajā tīmekļvietnē var iekļaut sadaļas un informāciju atbilstoši iestādes darbības jomai. Tas nozīmē, ka informāciju par pašvaldībā esošajām publiskajām atpūtas vietām, kurās nodrošināti piekļūstamības risinājumi, pašvaldība var publicēt savā tīmekļvietnē bez ierobežojumiem un mainīt to pēc nepieciešamības. Jautājums kā labās prakses piemērošana skatāms pašvaldību speciālistu apmācību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Autostāvvietu tehniskie risinājumi un nosacījumi projektēšanai risināmi būvnormatīvā. 2024. gada 10. jūlija un 18. jūlija sanāksmēs kopā ar Labklājības ministriju panākta vienošanās, ka jautājumi par konkrētu tehnisko rādītāju iekļaušanu normatīvajā regulējumā tiks diskutēti turpmākā darba procesā kopā arī Ekonomikas ministriju. Vienlaicīgi Ekonomikas ministrija piedāvā no MKN 240 uz Ministru kabineta 2021. gada 19. oktobra noteikumiem Nr. 693 “Būvju vispārīgo prasību būvnormatīvs LBN 200-21” pārcelt arī personu ar īpašām vajadzībām stāvvietas platuma parametru 3,5 m. Šai prasībai ir jāattiecas gan uz inženierbūvēm, gan ēkām un pareizākā regulējuma vieta būtu minētais būvnormatīvs, nevis MKN 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Grozījumi paredz redakcionāli precizēt MKN 240 2.26., 98., 102., 175., 177., 180. un 183.punktus aizstājot terminu "vides pieejamība"ar terminu "vides piekļūstamība". Papildus Noslēguma jautājumos noteikts, ka MKN 240 lietotais vides piekļūstamības jēdziens atbilst būvniecības jomas normatīvajā regulējumā lietotajam vides pieejamības jēdzienam.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2024. gada 18. jūlija sanāksmē panākta vienošanās ar Labklājības ministriju un Ekonomikas ministriju, ka vides un informācijas risinājumu kontekstā,  veidojot piekļūstamu vidi visiem cilvēkiem, tai skaitā ar pagaidu funkcionāliem traucējumiem, cilvēkiem ar invaliditāti, ģimenēm ar maziem bērniem, termina “personas ar īpašām vajadzībām” lietojums ir nepieņemams.  MKN 240 203., 204. un 205.punktā svītrots termins "personas ar īpašām vajadzībām", nosakot, ka jāveido speciālas, ne mazāk kā 3,5,m platas autostāvvietas, ar vārdu "speciālas" saprotot platākas autostāvvietas īpašiem gadījumiem, to izmantošanas nosacījumus regulējot ar zīmēm un norādēm konkrētajā vietā. Papildināta arī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iebildumu par 7</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par koku ciršanu ārpus meža saistīts ar zaudējumu atlīdzināšanu par dabas daudzveidības samazināšanu saistībā ar koku ciršanu, VARAM precizēs dabas aizsardzības jomas regulējumu, iekļaujot tajā koku ciršanas ārpus meža jautājumus. Regulējuma izstrādes termiņš noteikts atbilstoši Valsts kancelejas administrētajam administratīvā sloga mazināšanas pasākumu laika grafikam – 2025.gada 1.jūlijs. No VARAM atbildīgais par normatīvā regulējuma izstrādi ir Dabas aizsardzības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anotācija nav izstrādāta atbilstoši Ministru kabineta 07.09.2021. noteikumiem Nr. 617 “Tiesību akta projekta sākotnējās ietekmes izvērtēšanas kārtība”. Proti, ne visiem grozījumiem ir detalizēti aprakstīts izstrādes mērķis un nepieciešamība, tai skaitā vērtējot iespējamās alternatīvas. Lūdza anotāciju papildināt ar izvērstu regulējuma mērķa un iespējamās piemērošanas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anotācija redakcionāli precizēta un papildināta. Vienlaicīgi vēršam uzmanību, ka Grozījumu izstrāde notika pakāpeniski, jautājumus izdiskutējot Darba grupā, tai skaitā diskutējot arī par iespējamiem alternatīviem risinājumiem, kas vairs netiek atspoguļoti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minēto problēmas aprakstu, lai apraksts atbilstu šībrīža faktiskajam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"Pārējiem vēja parkiem, kas neatbilst Enerģētiskās drošības likuma prasībām vai, kuri tam atbilst, bet tiem nav piešķirts NIO statuss, saglabājas TAPL 24. panta otrās daļas un MKN 240 53.5. apakšpunkta nosacījumi, kuri kopumā pieprasa lokālplānojuma izstrādi, veicot arī stratēģisko ietekmes uz vidi novērtējumu (turpmāk – IVN), ja atbilstoši normatīvajiem aktiem ietekmes uz vidi novērtējuma jomā minētajam attīstības plānošanas dokumentam iespējama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ietekmes uz vidi novērtējuma" 1. panta 6. punktu stratēģiskā ietekmes uz vidi novērtējuma process attiecas uz tiem plānošanas dokumentiem, kuriem var būt būtiska ietekme uz vidi, nevis visiem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šāds teksts: “Atbilstoši likuma Par ietekmes uz vidi novērtējumu 1. pielikuma 6. punktam,  metālapstrāde ir ražotnes un iekārtas krāsaino metālu ražošanai no rūdas, koncentrātiem vai metāllūžņiem, izmantojot metalurģiskos, ķīmiskos vai elektrolītiskos procesus. Vienlaicīgi svarīgi ir minēt, ka metālapstrāde, kas saistīta ar dažāda veida amatniecību, nav uzskatāma par smago rūpniecību.” Lūdzam minēto tekstu svītrot, jo likums “Par ietekmes uz vidi novērtējumu” nedefinē darbības un nesniedz to skaidrojumus. Tai skaitā likuma “Par ietekmes uz vidi novērtējumu” 1. pielikuma 6. punkts nenosaka, kas ir metālapstrāde, bet gan norāda atsevišķas darbības, kurām nepieciešams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pie neatrisināto un steidzami risināmo jautājumu uzskatījuma par neatrisināto " jaunu pieeju rūpniecības uzņēmumu dalījumā", norādot konkrētu laiku, kad VARAM ar DG atgriezīsies pie šī jautājuma.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netiks risināts, piemēram tādā gadījumā Ādažiem būs jāgroza Stratēģija, kas šobrīd nepieļauj “smago rūpniecību” un attiecīgi jaunajā plānojumā jāmaina lielākajā daļā R teritoriju apakšzonas (uz tādām, kas pieļauj arī kodu 13002 – smagā rūpniecība), lai max novērstu situācijas, kad uzņēmumiem netiks izsniegtas atļaujas piesārņojošās darbības veikšanai, vai esošas darbības paplašināšanai. Bet kopumā šī situācija ir absurda, jo šobrīd VVD pat pārtikas ražošanu traktē kā “smago rūpniecību”. Paredzētie grozījumi rūpniecības uzņēmumu dalījumā šo problēmu būtu novērsuši.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papildināts 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publiskās apspriešanas laikā Latvijas Pašvaldību savienība iesniedza iebildumus (Jelgavas novads, Limbažu novads, Augšdaugavas novads, Rīgas valstspilsētas pašvaldība, Kuldīgas novads, biedrība “Latvijas Lielo pilsētu asociācija”), kur cita starpā, kopumā galvenais iebildums bija vērsts pret izmaiņām attiecībā uz teritorijas izmantošanas veidu </w:t>
            </w:r>
            <w:r w:rsidR="00000000" w:rsidRPr="00000000" w:rsidDel="00000000">
              <w:rPr>
                <w:i w:val="1"/>
                <w:rtl w:val="0"/>
              </w:rPr>
              <w:t xml:space="preserve">vieglās rūpniecības uzņēmumu apbūve</w:t>
            </w:r>
            <w:r w:rsidR="00000000" w:rsidRPr="00000000" w:rsidDel="00000000">
              <w:rPr>
                <w:rtl w:val="0"/>
              </w:rPr>
              <w:t xml:space="preserve"> un </w:t>
            </w:r>
            <w:r w:rsidR="00000000" w:rsidRPr="00000000" w:rsidDel="00000000">
              <w:rPr>
                <w:i w:val="1"/>
                <w:rtl w:val="0"/>
              </w:rPr>
              <w:t xml:space="preserve">smagās rūpniecības un pirmsapstrādes uzņēmumu apbūve</w:t>
            </w:r>
            <w:r w:rsidR="00000000" w:rsidRPr="00000000" w:rsidDel="00000000">
              <w:rPr>
                <w:rtl w:val="0"/>
              </w:rPr>
              <w:t xml:space="preserve"> satura izmaiņām pielīdzinot tos likumā “Par piesārņojumu” un Ministru kabineta 2010. gada 30. novembra noteikumos Nr. 1082 “Kārtība, kādā piesakāmas A, B un C kategorijas piesārņojošas darbības un izsniedzamas atļaujas A un B kategorijas piesārņojošo darbību veikšanai”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iebildumus, tika nolemts saglabāt spēkā esošo MKN 240 redakciju attiecībā uz visiem punktiem, kas saistīti ar teritorijas izmantošanas veidiem </w:t>
            </w:r>
            <w:r w:rsidR="00000000" w:rsidRPr="00000000" w:rsidDel="00000000">
              <w:rPr>
                <w:i w:val="1"/>
                <w:rtl w:val="0"/>
              </w:rPr>
              <w:t xml:space="preserve">vieglās rūpniecības uzņēmumu apbūve (kods 13001) </w:t>
            </w:r>
            <w:r w:rsidR="00000000" w:rsidRPr="00000000" w:rsidDel="00000000">
              <w:rPr>
                <w:rtl w:val="0"/>
              </w:rPr>
              <w:t xml:space="preserve">un </w:t>
            </w:r>
            <w:r w:rsidR="00000000" w:rsidRPr="00000000" w:rsidDel="00000000">
              <w:rPr>
                <w:i w:val="1"/>
                <w:rtl w:val="0"/>
              </w:rPr>
              <w:t xml:space="preserve">smagās rūpniecības un pirmapstrādes uzņēmumu apbūve (kods 13002)</w:t>
            </w:r>
            <w:r w:rsidR="00000000" w:rsidRPr="00000000" w:rsidDel="00000000">
              <w:rPr>
                <w:rtl w:val="0"/>
              </w:rPr>
              <w:t xml:space="preserve"> un to nosacījumiem, jautājumu atkārtoti diskutējot Darba grupā pieaicinot Klimata un enerģētikas ministrijas ekspertus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iebildumu par Ādažu teritorijas plānojumu, vēršam uzmanību, ka teritorijas plānojuma izstrāde ir pašvaldības ekskluzīvā kompetence atbilstoši Pašvaldību likuma 4. panta pirmās daļas 15. punktam un Teritorijas attīstības plānošanas likuma12. panta pirmajai un trešajai daļai. Katrai pašvaldībai ir savs redzējums par savas teritorijas attīstību ilgtermiņā, kas tiek saskaņots arī ar konkrētās pašvaldības iedzīvotājiem. Ja pašvaldībai mainījušies ilgtspējīgas attīstības stratēģijā noteiktie attīstības mērķi vai prioritātes, ilgtspējīgas attīstības stratēģiju var aktualizēt atbilstoši Ministru kabineta 2014. gada 14. oktobra noteikumi Nr. 628 “Noteikumi par pašvaldību teritorijas attīstības plānošanas dokumentiem” 71.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ir norādīts, ka grozījumu projektā paredzētās izmaiņas “ļaus turpmāk neizstrādāt lokālplānojumus, tai skaitā arī to stratēģisko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attiecībā uz Eiropas Savienības tiesību aktu ievērošanu attiecībā uz stratēģiskā ietekmes uz vidi novērtējuma piemērošanu, lūdzam sniegt skaidrojumu anotācijā, kā tiks nodrošināta likuma “Par ietekmes uz vidi novērtējumu” 23. prim un citu šī likuma pantu un no likuma izrietošo tiesību aktu prasība, ka plānošanas dokumentiem, kam var būt būtiska ietekme uz vidi veic stratēģisko ietekmes uz vidi novērtējumu. Ja ir plānots, ka pašvaldība varēs veikt grozījumu teritorijas plānojumā, lai noteiktu plašākas teritorijas, kurās iespējama vēja elektrostaciju izbūve, lūdzam norādīt, ka šiem grozījumiem tiks veikts izvērtējums par stratēģiskā ietekmes uz vidi novērtējuma nepieciešamību un attiecīgi nepieciešamības gadījumā tiks veikts stratēģiskais ietekmes uz vidi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 norādot, ka Grozījumu projektā paredzētās izmaiņas ļaus turpmāk neizstrādāt lokālplānojumus, svītrojot atsauci par stratēģiskās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18.</w:t>
            </w:r>
            <w:r w:rsidR="00000000" w:rsidRPr="00000000" w:rsidDel="00000000">
              <w:rPr>
                <w:vertAlign w:val="superscript"/>
                <w:rtl w:val="0"/>
              </w:rPr>
              <w:t xml:space="preserve">2</w:t>
            </w:r>
            <w:r w:rsidR="00000000" w:rsidRPr="00000000" w:rsidDel="00000000">
              <w:rPr>
                <w:rtl w:val="0"/>
              </w:rPr>
              <w:t xml:space="preserve"> punktā noteiktajam, administratīvo izmaksu un atbilstības izmaksu aprēķina rezultāts gan izmaksu pieauguma, gan samazinājuma gadījumos ir iekļaujams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7. sadaļas 7.4. apakšpunktā ietverto informāciju par administratīvā un finanšu sloga mazināšanu uzņēmējiem, lūdzam veikt aprakstīto izmaiņu administratīvo izmaksu samazinājuma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aprēķini un to rezultāti iekļaujami - fiziskām un juridiskām personām anotācijas 2. sadaļas 2.3. apakšpunktā, savukārt valsts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projektam attiecībā uz MKN 240 53.5.apakšpunkta redakciju nav ietekmes uz visu sabiedrību kopumā un tas kopumā neietekmē arī visus uzņēmumus, panākta vienošanās ar Valsts kanceleju par to, ka anotācijā tiek iekļauts apraksts par izmaksām, kas veidojas uzņēmējam, kas vēlas attīstīt vēja elektrostaciju vai vēja parka būvniecību funkcionālajā zonā </w:t>
            </w:r>
            <w:r w:rsidR="00000000" w:rsidRPr="00000000" w:rsidDel="00000000">
              <w:rPr>
                <w:i w:val="1"/>
                <w:rtl w:val="0"/>
              </w:rPr>
              <w:t xml:space="preserve">mežu teritorija (M)</w:t>
            </w:r>
            <w:r w:rsidR="00000000" w:rsidRPr="00000000" w:rsidDel="00000000">
              <w:rPr>
                <w:rtl w:val="0"/>
              </w:rPr>
              <w:t xml:space="preserve">, ja pašvaldības teritorijas plānojumā nav noteikts īpaša apakšzona šim mērķim.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 punkts paredz izmaiņas Ministru kabineta 2013. gada 30. aprīļa noteikumu Nr. 240 "Vispārīgie teritorijas plānošanas, izmantošanas un apbūves noteikumi" 186. punktā. Līdzšinējā redakcijā ir noteikta prasība nodrošināt drošas margas vai aizsargbarjeras ne mazāk kā 0,90 m augstumā, vietās, kur dabas takai ir bīstams slīpums, krauja vai nogāze vai tā tieši ved uz ūdensobjektu vai stāvu krauju.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izmaiņām prasība par drošām margām ir divos augstumos - 0,7 m un 1,1 m vai nodrošināt aizsargbarjeras 1,1 m augstumā.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jānodrošina atbilstība, līdz ar kuru pieaugs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 punktā ir iekļauts tiesību akta vērtējumu uzskaitījums, kur 9.7. apakšpunkts paredz atbilstības izmaksu vērtējuma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noteikumu Nr. 617 18., 18.</w:t>
            </w:r>
            <w:r w:rsidR="00000000" w:rsidRPr="00000000" w:rsidDel="00000000">
              <w:rPr>
                <w:vertAlign w:val="superscript"/>
                <w:rtl w:val="0"/>
              </w:rPr>
              <w:t xml:space="preserve">1 </w:t>
            </w:r>
            <w:r w:rsidR="00000000" w:rsidRPr="00000000" w:rsidDel="00000000">
              <w:rPr>
                <w:rtl w:val="0"/>
              </w:rPr>
              <w:t xml:space="preserve">un 18.</w:t>
            </w:r>
            <w:r w:rsidR="00000000" w:rsidRPr="00000000" w:rsidDel="00000000">
              <w:rPr>
                <w:vertAlign w:val="superscript"/>
                <w:rtl w:val="0"/>
              </w:rPr>
              <w:t xml:space="preserve">2</w:t>
            </w:r>
            <w:r w:rsidR="00000000" w:rsidRPr="00000000" w:rsidDel="00000000">
              <w:rPr>
                <w:rtl w:val="0"/>
              </w:rPr>
              <w:t xml:space="preserve"> punktu, lūdzam veikt atbilstības izmaksu aprēķinu un rezultātu iekļaut - fiziskām un juridiskām personām anotācijas 2. sadaļas 2.4. apakšpunktā, savukārt valsts institūcijām anotācijas 7. sadaļas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atbilstības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MKN 240 regulējums 186. punktā noteic, ka dabas takām, vietās, kur takai ir bīstams slīpums, krauja vai nogāze, jāparedz droša marga ne mazāk kā 0,90 m augstumā. Grozījumu projektā iekļauta prasība par drošām margām divos augstumos – 0,7 m un 1,1 m augstumā līdzšinējo 0,9 m vietā, kā arī tika iekļauts pārejas noteikums (jauns MKN 240 247. punkts), kas paredzēja, ka dabas taku atbilstība šīm jaunajām prasībām jānodrošina piecu gadu laikā. Pieci gadi būtu pietiekams termiņš, kura laikā dabas taku margas nepieciešamajās bīstamajās vietās varētu tikt nomainītas tāpēc, ka tās ir sapuvušas, salūzušas, vai tām vienkārši nepieciešami remonta darbi. Jāmin, ka pēc dabas taku ierīkošanas tiek noteikts ikgadējais finansējums to uzturēšanai, neizdalot kāda daļa nepieciešama margām, kāda kāpnēm, platformām vai pašam takas pamatam, tāpēc aprēķināt cik liela daļa no uzturēšanas darbu izmaksām piecu gadu termiņā varētu būt MKN 240 186. punktā noteiktās margu pielāgošanas nodrošināšana vides piekļūstamības prasībām praktiski nav iespējams, bet tas būtu zināms slogs valsts un pašvaldību budžetiem, jo dabas takas ierīko, uztur un apsaimnieko arī Dabas aizsardzības pārvalde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ekspertiem VARAM nonākusi pie secinājuma, ka, lai neradītu papildu slogu uz valsts un pašvaldību budžetu, MKN 240 noslēguma jautājumos Grozījumu projektā piedāvāta jauna 247. punkta redakcija, kas noteic, ka pēc Grozījumu spēkā stāšanās 186.punkta prasības piemērojamās jaunu dabas taku izveidei un veicot esošo dabas taku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 jaunās prasības attiecināmas tikai uz jaunu dabas taku ierīkošanu un esošo pārbūvi, tiešā veidā neradītu  papildus ietekmi uz valsts un pašvaldību budžetiem, jo jau šobrīd dabas taku izveidošanas viens no kritērijiem ir vides piekļūstamības prasību ievērošana ar mērķi nodrošināt ērtu piekļuvi objektam visām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aprēķināt konkrētas nākotnes izmaksas nav iespējams, taču jāatzīmē, ka jau šobrīd veicot jaunu būvniecību, vides piekļūstamības prasības tiek noteiktas kā viens no kritērijiem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kanceleju panākta vienošanās par to, ka prognozējamais izmaksu monetārais aprēķina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plānota publiskajai ārtelpai vai koplietošanas apstādījumiem (kas neietilpst ielu, ceļu un laukumu teritorijā), veidošanai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vai tā anotācijas nav skaidrs, kas plānotajā Ministru kabineta 2013. gada 30. aprīļa noteikumu Nr. 240 "Vispārīgie teritorijas plānošanas, izmantošanas un apbūves noteikumi" 7.</w:t>
            </w:r>
            <w:r w:rsidR="00000000" w:rsidRPr="00000000" w:rsidDel="00000000">
              <w:rPr>
                <w:vertAlign w:val="superscript"/>
                <w:rtl w:val="0"/>
              </w:rPr>
              <w:t xml:space="preserve">1</w:t>
            </w:r>
            <w:r w:rsidR="00000000" w:rsidRPr="00000000" w:rsidDel="00000000">
              <w:rPr>
                <w:rtl w:val="0"/>
              </w:rPr>
              <w:t xml:space="preserve"> punktā ir domāts ar vārdiem</w:t>
            </w:r>
            <w:r w:rsidR="00000000" w:rsidRPr="00000000" w:rsidDel="00000000">
              <w:rPr>
                <w:i w:val="1"/>
                <w:rtl w:val="0"/>
              </w:rPr>
              <w:t xml:space="preserve"> “koplietošanas apstādījumi”</w:t>
            </w:r>
            <w:r w:rsidR="00000000" w:rsidRPr="00000000" w:rsidDel="00000000">
              <w:rPr>
                <w:rtl w:val="0"/>
              </w:rPr>
              <w:t xml:space="preserve">. Proti, nav objektīvi skaidrs, vai pašvaldība apbūves noteikumos var noteikt, ka, piemēram, mazstāvu dzīvojamās apbūves teritorijā apbūvi var veikti paredzot tikai noteiktus apstādījumus vai tikai to, ka apstādījumiem ir jābūt kā tādiem. Lūdzam šos vārdus skaidrot vismaz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attiecīgās normas mērķis ir paredzēts, ka pašvaldība apbūves noteikumos var paredzēt tikai to, ka apstādījumiem ir jābūt, tad tāds regulējums praksē rada lielu tiesisko neskaidrību un būvniecības ierosinātājs nevar savlaicīgi objektīvi plānot savu rīcību – nav zināms kādus tieši apstādījumu būvvalde prasīs. Līdz ar to, lūdzam attiecīgo regulējumu precizēt, norādot, ka pašvaldībai vismaz apbūves noteikumos ir jāparedz noteikts apstādījumu vieds, nevis tikai to, ka tādiem ir jābūt. Papildus, skaidrības labad, ir nepieciešams anotācijā uzvērt, ka pašvaldības būvvalde, izskatot būvniecības ieceri, var prasīt apstādījumu paredzēšanu būvniecības iecerē tikai tajos gadījumos, kad tas tieši un nepārprotami ir noteikts pašvaldības apbūves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ka šobrīd Grozījumu projektā ietvertais 7.</w:t>
            </w:r>
            <w:r w:rsidR="00000000" w:rsidRPr="00000000" w:rsidDel="00000000">
              <w:rPr>
                <w:vertAlign w:val="superscript"/>
                <w:rtl w:val="0"/>
              </w:rPr>
              <w:t xml:space="preserve">1</w:t>
            </w:r>
            <w:r w:rsidR="00000000" w:rsidRPr="00000000" w:rsidDel="00000000">
              <w:rPr>
                <w:rtl w:val="0"/>
              </w:rPr>
              <w:t xml:space="preserve"> punkta regulējums kopsakarā ar pārējo spēkā esošo MKN 240 regulējumu ir pietiekams deleģējums pašvaldībai noteikt prasības apstādījumu plānošanai, panākta 2024.gada 26.septembra Administratīvā sloga samazināšanas darba grupas sanāksmē, kurā piedalījās Valsts kancelejas, VARAM, Ekonomikas ministrijas un Zemkopības ministrijas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plānota publiskajai ārtelpai vai publiskiem apstādījumiem (kas neietilpst ielu, ceļu un laukumu teritorijā), veidošanai un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paredzēta publiskajai ārtelpai vai koplietošanas apstādījumiem (kas neietilpst ielu, ceļu un laukumu teritorijā), veidošanai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30.aprīļa noteikumi Nr. 240 “Vispārīgie teritorijas plānošanas, izmantošanas un apbūves noteikumi” (turpmāk – Noteikumi nr. 240) tiek papildināti ar jauno 71.punktu,  pamatojot to ar administratīvā sloga mazināšanu nekustamā īpašuma attīstīšanas jomā. Anotācijā tiek norādīts, ka piedāvātais regulējums atbilst informatīvajā ziņojumā “Par rīcības plānu administratīvā sloga mazināšanai nekustamo īpašumu attīstīšanas jomā” (apstiprināts Ministru kabineta 2024.gada 2.aprīļa sēdē, protokols Nr. 14, paragrāfs 35, turpmāk – rīcības plāns) iekļautajam 7.1.1.pasākumam.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šāda sašaurinātai uzdevuma interpretācijai. Piedāvātais regulējums attiecas tikai uz uzdevuma mazu daļu un nerisina pārējās būtiskas problēmas. Administratīvā sloga mazināšanas darba grupa, kas risināja atmežošanas problēmas un koku ciršanas aspektus ārpus meža zemēm, ir izdarījusi virkni secinājumu: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pašvaldībai noteikti kārtību koku ciršanai ārpus meža zemēm, ir noteikts Meža likumā. Atsevišķi augošu koku regulējums saturiski neatbilst Meža likuma mērķiem un regulējuma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attiecas uz koku ciršanu, normatīvais regulējums neizvirza nekādas prasības koku stādīšanai, koku kopšanai. Šādas prasības parasti tiek ietvertas būvatļauja kā projektēšanas nosacījums. Pašvaldības prasības attiecībā uz zemes vienības “apzaļumošanu” attiecina gan uz publisko ārtelpu, gan uz privātās lietošanas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vienota pieeja koku ciršanas regulējumam. Pašvaldību saistošie noteikumi nosaka kārtību koku ciršanas atļaujas saņemšanai, kā arī samaksas apmēru par nocirsto koku. Kārtības ir dažādas, kas rada administratīvo slogu, pašvaldības rīcība un prasības nav samērīgas, netiek skatīts konceptuāls teritorijas apbūves risinājums, netiek vērtēti turpmāk paredzētie apstādījumi. Neskatoties uz to, ka nekustamā īpašuma attīstīšana paredz lielu teritoriju atvēlēt apstādījumiem, īpašniekam tiek piemērota augsta maksa par esošu koku ciršanu, neļaujot to kompensēt ar jaunu koku stādīšanu apbūves teritorijas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vienojas, ka ir nepieciešami kompleksi pilnveidojumi normatīvajā regulējumā, primāri novirzot “teritorijas apzaļumošanas” prasības uz teritorijas plānošanas procesu. Ņemot vērā, ka nekustamā īpašuma attīstītājam apbūves plānošanai ir svarīgi pēc iespējas agrīnākā stadijā noskaidrot visus būtiskus teritorijas attīstīšanas nosacījumus, teritorijas plānojumā ir jāatrunā arī prasības koku stādīšanai, koku kopšanai un koku ciršanai (t.sk. kompensējošiem pasākumiem). Vienlaicīgi, Ekonomikas ministrijas prāt, Noteikumi Nr. 240 ir jāpapildina ar vienotiem principiem koku ciršanas atļaujas saņemšanai, t.sk. kompensējošiem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regulējumu atbilstoši darba grupā nolemtajam.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skatīts 2024. gada 18. jūlija sanāksmē, nepanākot vienošanos par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par koku ciršanu ārpus meža regulē Ministru kabineta 2012. gada 2. maija noteikumi Nr. 309 “Noteikumi par koku ciršanu ārpus meža”, tie izdoti saskaņā ar Meža likuma deleģējumu un izdevējs ir Zemkopības ministrija. Minētie noteikumi noteic gadījumus, kad zemes īpašniekam koku ciršanai jāsaņem pašvaldības atļauja, kas tiek izsniegta atbilstoši pašvaldības saistošajiem noteikumiem par koku ciršanu ārpus meža konkrētā pašvaldībā. Minētie saistošie noteikumi nosaka, ka zemes īpašniekiem vai tiesiskajiem valdītājiem ir jāatlīdzina zaudējumi par dabas daudzveidības samazināšanu saistībā ar koku ciršanu konkrētas pašvaldības administratīvajā teritorijā, tie nosaka arī gadījumus, kad nepieciešama publiskā apspriešana koku ciršanai ārpus meža, dodot iespēju sabiedrībai piedalīties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pretēji Ekonomikas ministrijas iebildumā paustajam, šobrīd ir spēkā vienots un pietiekami skaidrs regulējums koku ciršanai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piekrītam, ka normatīvais regulējums neizvirza nekādas prasības koku stādīšanai un koku kopšanai, tai skaitā iespējamiem kompensējošiem pasākumiem. Vienlaicīgi, VARAM ieskatā, lai nevairotu normatīvisma palielināšanu valsts pārvaldē, nav jāveido stingrs regulējums koku stādīšanai un kopšanai. Teritorijas plānošana ir pašvaldības autonomā kompetence un vadošā loma neapbūvētu teritoriju detalizētā plānošanā ir tieši pašvaldībai, kas vienlaicīgi īsteno arī tās ilgtspējīgas attīstības stratēģijā definētos stratēģiskos mērķus pilsētvides, tai skaitā publiskās ārtelpas, veidošanā.  Atbilstoši publiski  pieejamai informācijai, ir pietiekoši daudz informatīva materiāla par pareizu koku stādīšanu, kopšanu un uzturēšanu, piemēram, Rīgas valstspilsētas pašvaldības Mājokļu un vides departaments 2023. gadā ir publicējis informatīvu materiālu “Koku stādīšanas vadlīnijas urbānā vidē” (https://mvd.riga.lv/uploads/videgaiss/Koku_stadisanas_manualis_RD_2023.pdf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diskutējama ir regulējuma papildināšana ar normām par iespēju kompensēt atļauto koku ciršanu ar jaunu koku stādīšanu konkrētās apbūves teritorijas ietvaros vai citā pašvaldības norādītā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plānota publiskajai ārtelpai vai publiskiem apstādījumiem (kas neietilpst ielu, ceļu un laukumu teritorijā), veidošanai un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4.2. līdz 4.13.apakšnodaļās noteikts atļauto izmantošanas veidu uzskaitījums konkrētā funkcionālajā zonā, kuru var samazināt atbilstoši attiecīgās teritorijas plānotajai attīstībai un specifikai. Pēc nepieciešamības var sašaurināt (detalizēt) arī izmantošanas veida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pēdējo teikumu ar vārdu kopu, “kā arī noteikt citus ar izmantošanu saistītas prasības”. Vienlaicīgi anotāciju papildināt ar izvērstu regulējuma mērķa un iespējamās piemērošanas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sloga mazināšanas darba grupā, kas risināja ar teritorijas attīstības plānošanu saistītus jautājumus, tika uzsvērta nepieciešamība paplašināt vietējās pašvaldības rīcības brīvību teritorijas plānojuma izstrādē, ļaujot izvirzīt papildus prasības izmantošanai, piemēram, prasības klimata neitralitātes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anotācija papildināta ar izvērstāku regulējuma skaidrojumu, ietverot arī regulējuma piemērošanas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MKN 240 19.</w:t>
            </w:r>
            <w:r w:rsidR="00000000" w:rsidRPr="00000000" w:rsidDel="00000000">
              <w:rPr>
                <w:vertAlign w:val="superscript"/>
                <w:rtl w:val="0"/>
              </w:rPr>
              <w:t xml:space="preserve">1</w:t>
            </w:r>
            <w:r w:rsidR="00000000" w:rsidRPr="00000000" w:rsidDel="00000000">
              <w:rPr>
                <w:rtl w:val="0"/>
              </w:rPr>
              <w:t xml:space="preserve"> punkta papildināšanu ar vārdiem “kā arī noteikt citus ar izmantošanu saistītas prasības”, norādām, ka Ministru kabineta 2014. gada 14. oktobra noteikumu Nr. 628 “Noteikumi par pašvaldību teritorijas attīstības plānošanas dokumentiem” 32.4. un 37.4. apakšpunktā noteikts, ka teritorijas plānojuma un lokālplānojuma teritorijas izmantošanas un apbūves noteikumos nosaka arī  citas prasības, aprobežojumus un nosacījumus, ņemot vērā teritorijas īpatnības un specifiku. Lai nedublētu un nenoslogotu regulējumu, MKN 240 atkārtoti nav jānosaka, ka pašvaldība teritorijas izmantošanas un apbūves noteikumos var noteikt arī citas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4.2. līdz 4.13. apakšnodaļās noteikts atļauto izmantošanas veidu uzskaitījums konkrētā funkcionālajā zonā, kuru var samazināt atbilstoši attiecīgās teritorijas plānotajai attīstībai un specifikai. Pēc nepieciešamības var sašaurināt (detalizēt) arī izmantošanas veida aprakstu.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Ārpus pilsētām un ciemiem aizliegts veidot jaunas dzīvojamās apbūves teritorijas, ja tās netiek kompleksi plānotas kā kompakti ciemi vai pilsētas, paredzot daudzveidīgu teritorijas izmantošanu ar atbilstošu publisko infrastruktūru, vai esošo pilsētu vai ciemu teritoriju paplašināšana ar blīvu apbūvi.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60.punktu, jo atsevišķas pašvaldības pieļauj veidot dzīvojamās apbūves teritorijas lauksaimniecības teritorijās. Tas ir, galvenokārt, ar detālplānojumu palīdzību tiek veikta zemesgabalu sadalīšana un dzīvojamās apbūves plānošana. Šādas teritorijas parasti ir atrautas no apdzīvotām vietām, kā arī tām nav vai ir ļoti slikti atrisināti piekļuves u.c. jautājumi. Veicot teritorijas plānošanu, nereti tiek veidota izkliedēta, reta un no vietējiem centriem (pilsētām un ciemiem) attālināta apbūve. Šāda veida apbūve nenodrošina racionālu esošās teritorijas un infrastruktūras izmantošanu, palielina autonobraukumu un ar to saistīto ceļu satiksmes negadījumu skaitu, rada nepieciešamību pēc papildus ieguldījumiem satiksmes infrastruktūrā un satiksmes drošības uzlabošanas pasākumiem u.c. Jaunas apbūves teritorijas, tostarp, jauni ciemi nereti nenodrošina noteikumu 61.punktā noteiktās prasības, tostarp, nepieciešamos pakalpojumus un darbavietas iedzīvotājiem, kā arī to veidošanas gadījumā netiek risināti vai tiek risināti nepilnīgi piekļuves jautājumi esošajiem centriem un ceļu tīklam. Iepriekšminētais rezultējas ietekmē uz palielinātu autonobraukumu kilometros un no tā izrietošu palielinātu ceļu satiksmes negadījumu skaitu. Turklāt Satiksmes ministrijas ieskatā, plānojot apbūvi, priekšroka dodama esošo pilsētu un ciemu paplašināšanai, nevis jaunu apbūves teritoriju veidošanai attālināti no esošajām pilsētām un ciemiem, iespējami kompaktas un blīvas, nevis izkliedētas un retinātas apbūves veidošanai, apbūvi plāno balstoties uz pašvaldības ceļu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par spēkā esošas MKN 240 60.punkta redakcijas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21. punts noteic, kādas funkcionālās zonas var noteikt tikai pilsētās un ciemos, savukārt 60. punkts skaidri noteic, ka jaunas dzīvojamās apbūves teritorijas ārpus pilsētām un ciemiem veidot ir aizliegts, atļaujot jaunu kompaktu dzīvojamo apbūvi veidot tikai veidojot jaunu ciema teritoriju vai paplašinot pilsētas robežas. MKN 240 65. punkts noteic, ka lauku teritorijās jaunveidojamās zemes vienības minimālā platība ir 2 ha, papildus nosakot gadījumus, uz kuriem šis ierobežojums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atsevišķas pašvaldības detālplānojumu īstenošanas rezultātā pieļauj izkliedētas, retas un no vietējiem centriem (pilsētām un ciemiem) attālinātas dzīvojamās apbūves teritorijas veidošanos lauksaimniecības teritorijās. Saskaņā ar Pašvaldību likuma 10. panta pirmās daļas 1. punktu, Teritorijas attīstības plānošanas likuma 12. panta pirmo daļu un Būvniecības likuma 7.pantu, teritorijas attīstības plānošana un būvniecības procesa tiesiskuma nodrošināšana ir pašvaldības ekskluzīvā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zemesgabalu sadalīšana un dzīvojamās apbūves plānošana tiek veikta ar detālplānojumu palīdzību. Šobrīd plānošanas praksē ir izveidojusies situācija, kad vienlaicīgi ir spēkā detālplānojumi, kas detalizē teritorijas plānojumu, kas zaudējis spēku, stājoties spēkā jaunajam teritorijas plānojumam, vai spēku zaudējušo rajona teritorijas plānojumu (Teritorijas plānošanas likuma Pārejas noteikumu 15. punkts noteica, ka rajona pašvaldību saistošie noteikumi, ar kuriem apstiprināts rajona teritorijas plānojums, zaudēja spēku 2009. gada 1. augustā) No Teritorijas attīstības plānošanas likuma regulējuma izriet, ka šobrīd spēkā ir gan detālplānojumi, kas apstiprināti ar pašvaldības saistošajiem noteikumiem, gan detālplānojumi, kas izstrādāti atbilstoši Teritorijas attīstības plānošanas likumam un apstiprināti ar vispārīgo administratīvo aktu. Lai veicinātu izpratni par pašvaldības rīcību tiesiskuma nodrošināšanai, VARAM ir izstrādājusi metodisko materiālu “Vadlīnijas un kritēriji detālplānojumu izvērtēšanai un integrēšanai teritorijas plānojumos” (pieejams VARAM tīmekļa vietnē), kur aprakstītas reālas situācijas un sniegti juridiski skaidrojumi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nepieciešams veidot papildus regulējumu vai precizēt MKN 240 60. punktu, jo problēmas būtība ir atsevišķu pašvaldību normatīvo aktu piemērošanas un tiesiskuma respektēšana.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sanāksmē kopā ar Satiksmes ministriju panākta vienošanās, ka jautājumi par transporta infrastruktūras plānošanu tiks diskutēti turpmākā darba procesā iesaistot arī Satiksmes ministriju un VSIA “Latvijas Valsts ceļi”.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Ārpus pilsētām un ciemiem aizliegts veidot jaunas dzīvojamās apbūves teritorijas, ja tās netiek kompleksi plānotas kā kompakti ciemi vai pilsētas, paredzot daudzveidīgu teritorijas izmantošanu ar atbilstošu publisko infrastruktūru, vai esošo pilsētu vai ciemu teritoriju paplašināšana ar blīvu apbūvi.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Plānojot jaunus ciemus un pilsētas vai esošo pilsētu vai ciemu teritoriju paplašināšanu, tos veido kompleksus, kompaktus un pašpietiekamus,</w:t>
            </w:r>
            <w:r w:rsidR="00000000" w:rsidRPr="00000000" w:rsidDel="00000000">
              <w:rPr>
                <w:b w:val="1"/>
                <w:rtl w:val="0"/>
              </w:rPr>
              <w:t xml:space="preserve"> </w:t>
            </w:r>
            <w:r w:rsidR="00000000" w:rsidRPr="00000000" w:rsidDel="00000000">
              <w:rPr>
                <w:rtl w:val="0"/>
              </w:rPr>
              <w:t xml:space="preserve">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ciemus un pilsētas bez iespējām pietiekoši lielai daļai iedzīvotāju strādāt (darbavietām), šajās jaunveidojamās pilsētās un ciemos, palielinās nobraukumu apjoms no dzīvesvietām uz darbavietām un atpakaļ, tādējādi palielinot satiksmes intensitāti gan attiecīgajos ceļu posmos, gan ceļu mezglos (pieslēgumos) savienojošajiem ceļiem, rodas palielināta nepieciešamība pēc papildus infrastruktūras pasākumu realizēšanas, piemēram, autobusu pieturvietām, gājēju pārejām, luksoforiem, apgaismojuma, gājēju/veloceliņiem līdz autobusu pieturvietām u.t.t., palielinot transporta izmešu daudzumu un attālinot valsti no uzstādītajiem klimatneitralitātes un ilgtspējības mērķiem. Ražošanas un jaukta centra apbūves teritorijas paredzamas, lai, tādējādi vismaz daļai iedzīvotāju nodrošinot darbavietas dzīvesvietu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ciemus un pilsētas vai esošo pilsētu vai ciemu teritoriju paplašināšanu, jāņem vērā trokšņa ietekme, paredzot atbilstoša veida funkcionālos zonējumus.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61.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Plānojot jaunus ciemus un pilsētas vai esošo pilsētu vai ciemu teritoriju paplašināšanu, tos veido kompleksus, kompaktus un pašpietiekamus,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transporta infrastruktūru, kas balstās uz hierarhisku pašvaldības ceļu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ceļu tīkla sasaisti ar valsts autoceļu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inženiertīklus;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daudzveidīgu teritorijas izmantošanu ar iespējām nodrošināt iedzīvotājiem nepieciešamo pakalpojumu apjomu, tai skaitā pirmsskolas un pamatskolas izglītību, veselības un sociālo aprūpi, ikdienā nepieciešamo pārtikas preču iegādi, kā arī citus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teritorijas sasniedzamību ar sabiedrisko transportu un vietas mērogam atbilstošu mobilitāti, kurā prioritāte ir gājējiem un velotransportam;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teritorijas pārvaldības nodrošinājumu (piemēram, ielu un inženiertīklu uzturēšanu un apsaimniekošanu, kā arī atkritumu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publiskiem mērķiem paredzētās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publisko ārtelpu, tai skaitā publiski pieejamas rekreācijas, dabas un apstādījumu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ražošanas un jaukta centra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 trokšņa robežlielumu nepārsniegšanu no esošā transporta trokšņa.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 panākta vienošanās, ka atbilstoši Satiksmes ministrijas iebildumam MKN 240 61. punkts tiek papildināts ar 61.1.</w:t>
            </w:r>
            <w:r w:rsidR="00000000" w:rsidRPr="00000000" w:rsidDel="00000000">
              <w:rPr>
                <w:vertAlign w:val="superscript"/>
                <w:rtl w:val="0"/>
              </w:rPr>
              <w:t xml:space="preserve">1 </w:t>
            </w:r>
            <w:r w:rsidR="00000000" w:rsidRPr="00000000" w:rsidDel="00000000">
              <w:rPr>
                <w:rtl w:val="0"/>
              </w:rPr>
              <w:t xml:space="preserve">apakšpunktu, kā arī redakcionāli precizēti 61.1. apakšpunkts un 61.2.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iebildumā ierosināts papildināt MKN 240 61. punktu ar jaunu apakšpunktu, kas noteic, ka plānojot jaunus ciemus, obligāti jānosaka funkcionālās zonas </w:t>
            </w:r>
            <w:r w:rsidR="00000000" w:rsidRPr="00000000" w:rsidDel="00000000">
              <w:rPr>
                <w:i w:val="1"/>
                <w:rtl w:val="0"/>
              </w:rPr>
              <w:t xml:space="preserve">rūpnieciskās apbūves teritorija (R)</w:t>
            </w:r>
            <w:r w:rsidR="00000000" w:rsidRPr="00000000" w:rsidDel="00000000">
              <w:rPr>
                <w:rtl w:val="0"/>
              </w:rPr>
              <w:t xml:space="preserve"> un </w:t>
            </w:r>
            <w:r w:rsidR="00000000" w:rsidRPr="00000000" w:rsidDel="00000000">
              <w:rPr>
                <w:i w:val="1"/>
                <w:rtl w:val="0"/>
              </w:rPr>
              <w:t xml:space="preserve">jauktas centra apbūves teritorija (JC)</w:t>
            </w:r>
            <w:r w:rsidR="00000000" w:rsidRPr="00000000" w:rsidDel="00000000">
              <w:rPr>
                <w:rtl w:val="0"/>
              </w:rPr>
              <w:t xml:space="preserve"> ar mērķi veicināt iedzīvotāju nodrošinājumu ar darbavietām dzīvesvietu tuvumā. Teritorijas plānojuma izstrāde ir pašvaldības ekskluzīvā kompetence atbilstoši Pašvaldību likumam un Teritorijas attīstības plānošanas likumam un tikai pašvaldība, ievērojot normatīvajos aktos noteikto, ir tiesīga lemt par savas administratīvās teritorijas plānoto attīstību un tāda funkcionālā zonējuma noteikšanu, kas atbilst konkrētās teritorijas specifikai un ilgtspējīgas attīstības stratēģijā izvirzītajiem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rādītājus un to piemērošanas kārtību noteic Ministru kabineta 2014. gada 7. janvāra noteikumi Nr. 16 “Trokšņa novērtēšanas un pārvaldības kārtība”. Noteikumi noteic arī trokšņa stratēģisko karšu izstrādes kārtību, savukārt šo noteikumu 14. punkts noteic nosacījumus attiecībā uz teritorijām, tai skaitā noteic, ka ja prognozēti trokšņa robežlieluma pārsniegšana, pieļaujama ēku būvniecība, kas atbilst vietējās pašvaldības teritorijas plānojumam, ja būvniecības ierosinātājs projektē un īsteno prettrokšņa pasākumus. Papildus noteikts, ka satiksmes radītā trokšņa robežlielumu ievērošanu kontrolē Veselības inspekcija. Papildus minētajām, MKN 240 146., 147. un 147.</w:t>
            </w:r>
            <w:r w:rsidR="00000000" w:rsidRPr="00000000" w:rsidDel="00000000">
              <w:rPr>
                <w:vertAlign w:val="superscript"/>
                <w:rtl w:val="0"/>
              </w:rPr>
              <w:t xml:space="preserve">1</w:t>
            </w:r>
            <w:r w:rsidR="00000000" w:rsidRPr="00000000" w:rsidDel="00000000">
              <w:rPr>
                <w:rtl w:val="0"/>
              </w:rPr>
              <w:t xml:space="preserve"> punkts noteic nosacījumus, kas jāievēro jaunas vai esošās dzīvojamās apbūves paplašināšanas gadījumā attiecībā uz trokšņa robežlielumu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nav nepieciešams noteikt stingrākus nosacījumus attiecībā uz trokšņa robežlielumu ievērošanu, nekā noteic Ministru kabineta 2014. gada 7. janvāra noteikumi Nr. 16 “Trokšņa novērtēšanas un pārvaldības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2024. gada 12. jūlija sanāksmē kopā ar Satiksmes ministriju panākta vienošanās, ka jautājumi par transporta infrastruktūras plānošanu tiks diskutēti turpmākā darba procesā iesaistot arī Satiksmes ministriju un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Esošās vasarnīcu un dārza māju apbūves teritorijas var pārveidot par pastāvīgu dzīvojamo apbūves teritoriju,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esošās vasarnīcu un dārza māju apbūves teritorijas tiek pārveidotas par dzīvojamās apbūves teritoriju, neņemot vērā trokšņa izplatību, tāpēc trokšņa pasākumu īstenošanu tiek prasīts veikt ceļa īpašniekam vai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67.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Esošās vasarnīcu un dārza māju apbūves teritorijas var pārveidot par pastāvīgu dzīvojamo apbūves teritoriju, ievērojot šo noteikumu 61.punktā noteikto un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ja tiek izstrādāts lokālplānojums vai detālplānojums, kas aptver vismaz vienu apbūves kvartālu vai citādi funkcionāli saistītu teritoriju, un terito­rijas plānojumā noteiktā funkcionālā zona pieļauj attiecīgu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ja iespējams nodrošināt energoapgādi, ūdensapgādes un komunālo notekūdeņu kanalizācijas sistēmas, lietusūdeņu savākšanas sistēmas un ceļu tīkla izbūvi, kā arī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ja ir nodrošināta trokšņa robežlielumu nepārsniegšana.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kopā ar Satiksmes ministriju panākta vienošanās, ka jautājumi par transporta infrastruktūras plānošanu tiks diskutēti turpmākā darba procesā iesaistot arī Satiksmes ministriju un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rādītājus un to piemērošanas kārtību noteic Ministru kabineta 2014. gada 7. janvāra noteikumi Nr. 16 “Trokšņa novērtēšanas un pārvaldības kārtība”. Šo noteikumu 14. punkts noteic nosacījumus attiecībā uz teritorijām, tai skaitā noteic, ka ja prognozēti trokšņa robežlieluma pārsniegšana, pieļaujama ēku būvniecība, kas atbilst vietējās pašvaldības teritorijas plānojumam, ja būvniecības ierosinātājs projektē un īsteno prettrokšņa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240 146., 147. un 147.</w:t>
            </w:r>
            <w:r w:rsidR="00000000" w:rsidRPr="00000000" w:rsidDel="00000000">
              <w:rPr>
                <w:vertAlign w:val="superscript"/>
                <w:rtl w:val="0"/>
              </w:rPr>
              <w:t xml:space="preserve">1</w:t>
            </w:r>
            <w:r w:rsidR="00000000" w:rsidRPr="00000000" w:rsidDel="00000000">
              <w:rPr>
                <w:rtl w:val="0"/>
              </w:rPr>
              <w:t xml:space="preserve"> punkts noteic nosacījumus, kas jāievēro jaunas vai esošās dzīvojamās apbūves paplašināšanas gadījumā attiecībā uz trokšņa robežlielumu ievērošanu. Iebildumā piedāvātā 67.3. apakšpunkta redakcija pēc būtības dublētu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Esošās vasarnīcu un dārza māju apbūves teritorijas var pārveidot par pastāvīgu dzīvojamo apbūves teritoriju,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plānoti objekti, kuru darbības dēļ var pieaugt satiksmes intensitāte un traucējumi citiem satiksmes dalībniekiem, kā arī rasties papildu noslodze un cita negatīva ietekme transporta infrastruktūrai, izstrādā transporta plūsmas shēmu, ko iekļauj lokālplānojumā, detālplānojumā vai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noteikumu projekta redakcijā netiek pasargāti gājēji, lūdzam precizēt noteikumu projekta 23.punktā ietverto 79.punktu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plānoti objekti, kuru darbības dēļ var pieaugt satiksmes intensitāte un būtiski ietekmēt kopējo satiksmes situāciju, kā arī rasties papildu noslodze un cita ietekme transporta infrastruktūrai, izstrādā plānu satiksmei pa ceļiem, ko iekļauj lokālplānojumā, detālplānojumā vai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18.jūlija sanāksmēs kopā ar Satiksmes ministriju panākta vienošanās, ka jautājumi tiks diskutēti turpmākā darba procesā iesaistot arī Satiksmes ministriju un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plānoti objekti, kuru darbības dēļ var pieaugt satiksmes intensitāte un traucējumi citiem satiksmes dalībniekiem, kā arī rasties papildu noslodze un cita negatīva ietekme transporta infrastruktūrai, izstrādā transporta plūsmas shēmu, ko iekļauj lokālplānojumā, detālplānojumā vai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Esošo un plānoto ielu sarkanās līnijas nosaka teritorijas plānojuma vai lokālplānojuma apbūves noteikumos vai detālplānojuma teritorijas izmantošanas un apbūves nosacījumos un atkarībā no detalizācijas pakāpes attēlo grafiskajā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sarkanās līnijas nevar būt mazāk kā jau noteikts ceļu ekspluatācijas aizsargjoslā vai saskaņots ar valdītāju, lūdzam precizēt noteikumu projekta 24.punktā ietverto 90.punktu.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Grozījumu anotācijas pašreizējās situācijas aprakstā, šie Grozījumi ietver prioritārā kārtībā veicamos MKN 240 grozījumus un precizējumus un projekts sagatavots pamatojoties uz ieinteresēto pušu (pašvaldību, institūciju, ekspertu) iesniegtajiem priekšlikumiem, kas izdiskutēts un atbalstīts arī teritorijas attīstības plānošanas sistēmas pilnveides darba grupas (turpmāk - Darba grupa) sanāksmēs. Vienlaikus VARAM kopīgi ar Darba grupu jau ir aktualizējusi priekšlikumus turpmākajā darba procesā izstrādājamiem MKN 240 grozījumiem, tai skaitā, transporta infrastruktūras plānošana, publiskās ārtelpas un ainavu plānošana, kuru sagatavošanai nepieciešamas padziļinātākas diskusijas gan ar pašvaldībām, gan iesaistītajām institūcijām. Ņemot vērā jautājuma par sarkano līniju noteikšanu komplicētību, turpmākā darba procesā plānots ar pašvaldībām un ekspertiem no Satiksmes ministrijas un VSIA "Latvijas Valsts ceļi" diskutēt arī par iespējamām izmaiņām sarkano līniju noteikšanas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Esošo un plānoto ielu sarkanās līnijas nosaka teritorijas plānojuma vai lokālplānojuma apbūves noteikumos vai detālplānojuma teritorijas izmantošanas un apbūves nosacījumos un atkarībā no detalizācijas pakāpes attēlo grafiskajā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Lauku teritorijā pieslēgumus pie autoceļiem projektē, ievērojot atbilstošo normatīvo aktu prasības satiksmes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2008.gada 7.jūlija noteikumiem Nr.505 "Noteikumi par pašvaldību, komersantu un māju ceļu pievienošanu valsts autoceļiem" lūdzam lietot terminu "ceļu pievienojumi" termina “pieslēgumi” vietā. Ceļu pievienojumi atbilstoši normatīvajiem aktiem jāprojektē ne tikai lauku, bet arī pilsētu un ciemu teritorijās. Lai samazinātu pievienojumus valsts autoceļiem, kas apdraud satiksmes drošību, primāri īpašumi būtu pievienojami pašvaldību autoceļiem. Pašvaldību autoceļu iedalījums noteikts Ministru kabineta 2017.gada 27.jūnija noteikumu Nr. 361 “Pašvaldību ceļu un ielu reģistrācijas un uzskaites kārtība” 4.punktā. Savukārt, valsts autoceļu iedalījums noteikts likuma "Par autoceļiem" 3.panta trešajā daļā. Ņemot vērā minēto, lūdzam precizēt noteikumu 94.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Lauku teritorijā īpašumu pievienojumu pie autoceļiem plāno prioritārā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vispirms izvērtē iespēju īpašumu pievienot pie pašvaldību autoceļa, prioritāri izvērtējot iespēju pievienot īpašumu pie zemākas funkcijas un nozīmes pašvaldību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ja īpašumu nav iespējams pievienot pie pašvaldību autoceļa, tad izvērtē iespēju to pievienot pie valsts autoceļa, izvērtējot tos prioritārā kārtībā, sākot no zemākas nozīmes valsts autoceļa.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94. punkta redakcija precizēta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Pilsētās un ciemos, šo noteikumu 150. punktā minētajās apbūves teritorijās, kā pagaidu risinājumu līdz centralizētu ūdensapgādes un kanalizācijas tīklu izbūvei var ierīkot vietējo ūdensapgādi un decentralizētas kanalizācijas sistēmas, paredzot pieslēgšanas iespējas centralizētajiem tīkliem pēc to izbūves. Pēc centralizēto ūdensapgādes un kanalizācijas tīklu izbūves pieslēgums tiem ir obligāts.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pienākumu pieslēgties ūdensapgādes vai kanalizācijas sistēmai regulē normatīvie akti ūdenssaimniecības pakalpojumu jomā (sk., piemēram, Ministru kabineta 27.06.2017. noteikumu Nr.384 “Noteikumi par decentralizēto kanalizācijas sistēmu apsaimniekošanu un reģistrēšanu” 18.punktu) un šī iemesla dēļ attiecīgais regulējums nav ietverams noteikumu projektā. Lūdzam svītrot noteikumu 151.punkta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240 151. punkts precizēts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Pilsētās un ciemos, šo noteikumu 150. punktā minētajās apbūves teritorijās, kā pagaidu risinājumu līdz centralizētu ūdensapgādes un kanalizācijas tīklu izbūvei var ierīkot vietējo ūdensapgādi un decentralizētas kanalizācijas sistēmas, paredzot pieslēgšanas iespējas centralizētajiem tīkliem pēc to izbūves.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Atkritumu savākšanas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nedz Ministru kabineta noteikumu projekts "Grozījumi Ministru kabineta 2013. gada 30. aprīļa noteikumos Nr. 240 "Vispārīgie teritorijas plānošanas, izmantošanas un apbūves noteikumi"" (turpmāk - projekts), nedz Ministru kabineta 2016. gada 13. decembra noteikumi Nr. 788 "Noteikumi par atkritumu savākšanas un šķirošanas vietām" nenosaka attālumu, kādā novietojamas atkritumu savākšanas tvertnes no daudzdzīvokļu mājām, izglītības iestāžu ieejām, bērnu rotaļu laukumiem vai atpūtas zonām, kā arī citiem objektiem, kas šobrīd ir noteikti Ministru kabineta 2013. gada 30. aprīļa noteikumos Nr. 240 "Vispārīgie teritorijas plānošanas, izmantošanas un apbūves noteikumi" (turpmāk - Noteikumi) 170. punktā. Ievērojot minēto, lūdzam papildināt projekta sākotnējās ietekmes novērtējuma ziņojumu (anotāciju) ar izvērtējumu, kā atteikšanās no minēto attālumu noteikšanas var ietekmēt cilvēku veselību un kur ir noteiktas vai plānots noteikt sanitārās prasības attiecībā uz atkritumu savākšanas vietu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papildināta Grozījumu anotācija, pamatojot MKN 240 8.5. apakšnodaļas “Atkritumu savākšanas vietas”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Atkritumu savākšanas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Autostāvvietu kases automātu, bankomātu, reklāmas stabu un citu objektu izvietojums nedrīkst traucēt gājēju, bērnu ratiņu un riteņkrēslu lietotāju pārvietošanos. Brīvās ietves platums nevar būt mazāks par 1,2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40.punktā ietvertā 173.punkta redakcija ir plašāka un aptverošāka, kas nepieļauj izņēmumus, lūdzam to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Jebkādu objektu izvietojums nedrīkst traucēt gājēju, bērnu ratiņu un riteņkrēslu lietotāju pārvietošanos. Brīvās ietves platums nevar būt mazāks par 2 m vai 1,2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Ekonomikas ministirju par turpmāko rīcību attiecībā uz regulējuma pārcelšanu uz būvnormatīvu.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Turpmākajās diskusijās nepieciešams pamatot tieši 2 m, kā minimālā ietves platuma rādītāja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240 173. punkta redakcijā bez uzskaitītajiem objektiem ietverta atsauce – “un citu objektu izvietojums”, kas noteic plašāku regulējuma būtību un izpratni. Esošā redakcija noteic kritēriju ietves platumam, kas nevar būt šautāks kā 1,2 m, kas nozīmē, ka projektējot ietvi, to var veidot neierobežoti platu, ja tas iespējams un pamatoti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Autostāvvietu kases automātu, bankomātu, reklāmas stabu un citu objektu izvietojums nedrīkst traucēt gājēju, bērnu ratiņu un riteņkrēslu lietotāju pārvietošanos. Brīvās ietves platums nevar būt mazāks par 1,2 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Teritorijas plānojumos un lokālplānojumos nosaka prasības autonovietņu izvietošanai, tai skaitā attālumiem līdz dažādu veidu objektiem, un nepieciešamo autonovietņu skaitu dažādiem izmantošanas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jauniem punktiem atbilstoši piedāvātajai redakcijai ar mērķi uzlabot satiksmes drošību autonovietnēs un mazināt ceļu satiksmes negadījumu skaitu, kā arī attiecīgi samazināt apdrošināšanas izmaksu apjomu par automašīnu bojājumiem. Iniciatīva - informatīvais ziņojums "Par Latvijas pilsoņu kolektīvo iesniegumu "Neskrāpē mašīnu – prasi lielāku stāvvietu"" (23-TA-3090).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Autostāvvietu izveidošanas nosacījumus atbilstoši atrašanās vietas un apkalpotā objekta nozīmei izsniedz atbildīgā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2</w:t>
            </w:r>
            <w:r w:rsidR="00000000" w:rsidRPr="00000000" w:rsidDel="00000000">
              <w:rPr>
                <w:rtl w:val="0"/>
              </w:rPr>
              <w:t xml:space="preserve"> Būvvalde autonovietņu projektēšanas stadijā izvērtē plānoto būves ieceri un izdot tehniskos noteikumus (kritērijus) autonovietņu izveidei atbilstoši transportlīdzekļu izvietošanas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3</w:t>
            </w:r>
            <w:r w:rsidR="00000000" w:rsidRPr="00000000" w:rsidDel="00000000">
              <w:rPr>
                <w:rtl w:val="0"/>
              </w:rPr>
              <w:t xml:space="preserve"> Atkarībā no autostāvvietas atrašanās vietas un izvietojuma saskaņā ar standartu un būvnormatīviem, kā arī labās prakses vadlīnijām būvvalde izstrādā katrai stāvvietai atšķirīgas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4</w:t>
            </w:r>
            <w:r w:rsidR="00000000" w:rsidRPr="00000000" w:rsidDel="00000000">
              <w:rPr>
                <w:rtl w:val="0"/>
              </w:rPr>
              <w:t xml:space="preserve"> Katra autonovietnes izveide vērtējama individuāli atbilstoši būvvaldes izstrādātajiem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Satiksmes ministriju un Ekonomikas ministriju par iebildumā minētā punkta neiekļaušanu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Būvvaldes funkcijas noteiktas Būvniecības likuma 12. pantā un būvvaldes kompetencē ir MKN 240, kā arī teritorijas plānojuma teritorijas izmantošanas un apbūves noteikumu piemērošana. MKN 240 nevar noteikt jaunas būvvaldes funkcijas, piemēram, izstrādāt vērtēšanas kritērijus autonovietņu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Ekonomikas ministrija, iniciatīvas “Neskrāpē mašīnu – prasi lielāku stāvvietu” objekts ir automašīnas novietošanai paredzēta vieta - autostāvvieta, kas var būt ēkā (daudzstāvu autostāvvietā, pazemes autostāvvietā, zem nojumes, vienā no ēkas stāviem u.c.), uz inženierbūves vai tās daļas (uz autoceļa, blakus autoceļam, jeb “atpūtas laukumā” ar paātrinājuma joslu no tās, uz ietves, uz speciāli šim mērķim radīta laukuma, uz krasta nostiprinājuma, uz dambja u.c.), inženierbūvē (tunelī u.c.), zem inženierbūves (tilta, ceļa pārvada u.c., taču tajā pašā laikā uz laukuma, kas radīts tieši šim mērķim, tātad, pat šajā situācijā tas ir uz inženierbūves). Autostāvvietas platums un novietojums tieši ietekmē autonovietnes, kā arī attiecīgās būves apjomu un tehniskos risinājumu tādēļ minētajiem aspektiem (katras autostāvvietas platumam, autonovietnes apjomam, tehniskajam risinājumam u.c.) ir tieša saistība ar būves parametriem un transporta kustības drošību. Normatīvais akts, kas nosaka minimālās tehniskās prasības un ir jāievēro ikvienas ēkas kā arī inženierbūves, tai skaitā transporta būves, projektēšanā ir Ministru kabineta 2021. gada 19. oktobra noteikumi Nr. 693 “Būvju vispārīgo prasību būvnormatīvs LBN 200-21” (turpmāk – LBN 200-21). LBN 200-21 12.11. apakšnodaļas “Transporta būves” 172. punkts nosaka, ka “transporta būvju projektēšanā pilnībā ievēro vides pieejamības prasības un universālā dizaina principus, transporta kustības drošības, gājēju drošības un ugunsdrošības prasības saskaņā ar šā būvnormatīva un citām atbilstošās jomas normatīvo aktu prasībām”. Ierosinām iniciatīvas jautājumu risināt precizējot LBN 200-21 172. punktā noteikto kārtību, proti, LBN 200-21 12.11. apakšnodaļu “Transporta būves” papildināt ar jaunu punktu, kas raksturīgākās iniciatīvas problēmvietas risinātu ar konkrētu regulējumu, piemēram, “173.</w:t>
            </w:r>
            <w:r w:rsidR="00000000" w:rsidRPr="00000000" w:rsidDel="00000000">
              <w:rPr>
                <w:vertAlign w:val="superscript"/>
                <w:rtl w:val="0"/>
              </w:rPr>
              <w:t xml:space="preserve">1</w:t>
            </w:r>
            <w:r w:rsidR="00000000" w:rsidRPr="00000000" w:rsidDel="00000000">
              <w:rPr>
                <w:rtl w:val="0"/>
              </w:rPr>
              <w:t xml:space="preserve"> tirdzniecības centru un biroju automašīnu stāvvietas  (laukumus automašīnu novietošanai (inženierbūves daļa) kā arī ēkās esošās autostāvvietas), kas ir tieši blakus vai skujveida novietojumā ir blakus citai autostāvvietai plāno ar katrai automašīnai nepieciešamo minimālo platumu - 2,5 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Teritorijas plānojumos un lokālplānojumos nosaka prasības autonovietņu izvietošanai, tai skaitā attālumiem līdz dažādu veidu objektiem, un nepieciešamo autonovietņu skaitu dažādiem izmantošanas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235.</w:t>
            </w:r>
            <w:r w:rsidR="00000000" w:rsidRPr="00000000" w:rsidDel="00000000">
              <w:rPr>
                <w:vertAlign w:val="superscript"/>
                <w:rtl w:val="0"/>
              </w:rPr>
              <w:t xml:space="preserve">1</w:t>
            </w:r>
            <w:r w:rsidR="00000000" w:rsidRPr="00000000" w:rsidDel="00000000">
              <w:rPr>
                <w:rtl w:val="0"/>
              </w:rPr>
              <w:t xml:space="preserve"> punktu, kas risinātu situācijas, kad, attīstoties projektam, ir precizēti vai mainījušies sākotnēji plānotie tehniskie risinājumi, uz kā pamata, izstrādājot pašvaldības teritorijas plānojumu, tika noteikta plānotās nacionālas vai vietējas nozīmes infrastruktūras izbūvei vai rekonstrukcijai nepieciešamā teritorija (TIN7). Šāda norma risinātu situācijas, kad pašvaldības teritorijas plānošanas dokumentā ir noteikts TIN7, bet saskaņā ar infrastruktūras projektu šis TIN7 vai tā daļa vairs nav aktuāla. Tāpat noteikumu projekts tiktu salāgots ar Zemes pārvaldības likuma 5.panta ceturto daļu, kas noteic, ka, saskaņojot ar atbildīgo institūciju, ir atļauts veikt darbības, kas neapgrūtina attiecīgā infrastruktūras objekta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arī samazinātu administratīvo slogu, jo nebūtu jāveic grozījumi teritorijas attīstības plānošanas dokumentā, kas prasa laika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par iespējamo plānoto darbību atbilstoši funkcionālajam zonējumam, sabiedrība būtu jau informēta pašvaldības teritorijas attīstības plānošanas dokumenta izstrādes publiskās apspriešanas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Saskaņojot ar institūciju, kura ierosinājusi noteikt ieplānotas nacionālas vai vietējas nozīmes infrastruktūras izbūvei un rekonstrukcijai nepieciešamo teritoriju (TIN7), atļauts veikt darbības saskaņā ar funkcionālo zonējumu, ja nekustamais īpašums, vai tā daļa nav nepieciešams nacionālas un vietējas nozīmes infrastruktūras izbūvei un ja plānotā darbība neapgrūtinātu iecerētās publiskās infrastruktūras projekta īstenošanu, tajā skaitā vērtējot no normatīvajiem aktiem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jūlija un 18. jūlija sanāksmēs ar Satiksmes ministriju panākta vienošanās, ka iebildumā minētais jautājums diskutējams saistībā ar teritorijas plānošanas sistēmas pilnveides Darba grupā izskatāmajiem jautājumiem, tai skaitā elastīgākas teritorijas plānošanas sistēmas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teritorijas plānošanas jomas normatīvie akti noteic, ka teritorijas plānojums, tai skaitā tā grafiskā daļa, tiek apstiprināts ar pašvaldības saistošajiem noteikumiem (ārējs normatīvais akts) un jebkādi grozījumi minētā plānošanas dokumenta saistošajā daļā veicami izstrādājot teritorijas plānojuma grozījumus vai lokālplānojumu.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42.punktā ietvertais 235. punkts noteic, ka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vārdiem “līdz plānotā infrastruktūras objekta būvprojekta īstenošanas uzsākšanai” jāsaprot, ka būvprojekta īstenošana tiek uzsākta līdz ar būvatļaujas saņemšanu vai tomēr tas varētu būt laiks vēl līdz atzīmes saņemšanai par būvdarbu uzsākšanas nosacījumu izpildi un tikai tad, kad uzsākas būvniecība, iestājas būvprojekta īstenošanas uzsākšana? Attiecīgi lūdzam precizēt un/vai skaidrot noteikumu projekta anotācijā šīs normas piemērošanu. Lūdzam izvērtēt iespēju izteikt noteikumu projekta 42.punktā ietverto 235.punktu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 ekspluatācijas laiku un nosacījumus saskaņojot ar institūciju, kura ierosinājusi noteikt ieplānotas nacionālas vai vietējas nozīmes infrastruktūras izbūvei un rekonstrukcijai nepieciešamo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jūlija un 18. jūlija sanāksmēs kopīgi ar Satiksmes ministriju un Ekonomikas ministriju panākta vienošanās par turpmākām rīcībām iebildumā minētā jautājuma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piedāvātais risinājums par ekspluatācijas laika un nosacījumu saskaņošanu ar institūciju, kura ierosinājusi noteikt nacionālas vai vietējas nozīmes infrastruktūras izbūvei un rekonstrukcijai nepieciešamo teritoriju, nav attiecināms uz teritorijas plānošanas jautājumu loku. Turpmākā diskusiju procesā, Ekonomikas ministrijai vienojoties ar Satiksmes ministriju, ir jārod risinājums papildus regulējuma noteikšanai atbilstošās jomas tiesību aktā.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30.04.2013. noteikumu Nr.240 "Vispārīgie teritorijas plānošanas, izmantošanas un apbūves noteikumi" 3.pielikuma teritorijas izmantošanas veida "Vieglās rūpniecības uzņēmumu apbūve" (13001) skaidrojumu papildināt ar vārdiem "(tai skaitā noliktavas)". Vēršam uzmanību uz to, ka noliktavas pašas par sevi nerada lielāku ietekmi kā vieglā rūpniecība un tās var būt nepieciešamas attiecīgā rūpniecības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redakcionāli precizē MKN 240 4. pielikuma 13. punktā noteikto teritorijas atļautās izmantošanas veida </w:t>
            </w:r>
            <w:r w:rsidR="00000000" w:rsidRPr="00000000" w:rsidDel="00000000">
              <w:rPr>
                <w:i w:val="1"/>
                <w:rtl w:val="0"/>
              </w:rPr>
              <w:t xml:space="preserve">vieglās rūpniecības uzņēmumu apbūve (kods 13001) </w:t>
            </w:r>
            <w:r w:rsidR="00000000" w:rsidRPr="00000000" w:rsidDel="00000000">
              <w:rPr>
                <w:rtl w:val="0"/>
              </w:rPr>
              <w:t xml:space="preserve">aprakstu, papildinot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attiecīgi papildināt anotāciju saistībā ar 4.pielikuma apbūves veida 13002 "Smagās rūpniecības un pirmapstrādes uzņēmumu apbūve" aprakstā iekļauto papildinājumu "Metālapstrādes, </w:t>
            </w:r>
            <w:r w:rsidR="00000000" w:rsidRPr="00000000" w:rsidDel="00000000">
              <w:rPr>
                <w:u w:val="single"/>
                <w:rtl w:val="0"/>
              </w:rPr>
              <w:t xml:space="preserve">kas ietver metāla liešanu, kausēšanu, velmēšanu, elektrolīzes un ķīmisko procesu metāla plastmasas virsmu apstrādei</w:t>
            </w:r>
            <w:r w:rsidR="00000000" w:rsidRPr="00000000" w:rsidDel="00000000">
              <w:rPr>
                <w:rtl w:val="0"/>
              </w:rPr>
              <w:t xml:space="preserve">", jo uzskaitītās metālapstrādes darbības būtu attiecināmas uz metalurģijas nozari (metāla kausēšana, liešana) nevis uz metālapstrādi, kas būtu, piemēram, metāla locīšana, griešana.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4. pielikuma teritorijas izmantošanas veida </w:t>
            </w:r>
            <w:r w:rsidR="00000000" w:rsidRPr="00000000" w:rsidDel="00000000">
              <w:rPr>
                <w:i w:val="1"/>
                <w:rtl w:val="0"/>
              </w:rPr>
              <w:t xml:space="preserve">smagās rūpniecības un pirmapstrādes uzņēmumu apbūve (kods 13002)</w:t>
            </w:r>
            <w:r w:rsidR="00000000" w:rsidRPr="00000000" w:rsidDel="00000000">
              <w:rPr>
                <w:rtl w:val="0"/>
              </w:rPr>
              <w:t xml:space="preserve"> 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Precizētais izmantošanas veida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Metālapstrādes (izmantojot metalurģiskos, ķīmiskos vai elektrolītiskos procesus) un mašīnbūves, derīgo izrakteņu pārstrādes (ārpus derīgo izrakteņu ieguves vietām), gumijas rūpniecības, ādas, koksnes pārstrādes un celulozes ražošanas, būvmateriālu un sanitārtehnisko iekārtu ražošanas, kā arī ķīmiskās rūpniecības uzņēmumu, atkritumu pārstrādes uzņēmumu (ārpus atkritumu apglabāšanas poligoniem) un līdzīgu uzņēmumu (tai skaitā uzņēmumu, kuru darbība var radīt būtisku piesārņojumu) apbūve un infrastruktūra (tai skaitā noliktavas, pievedceļi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attiecīgi anotāciju saistībā ar 4.pielikuma apbūves veida 13002 "Smagās rūpniecības un pirmapstrādes uzņēmumu apbūve" aprakstā iekļauto papildinājumu - "ķīmiskās rūpniecības uzņēmumu </w:t>
            </w:r>
            <w:r w:rsidR="00000000" w:rsidRPr="00000000" w:rsidDel="00000000">
              <w:rPr>
                <w:u w:val="single"/>
                <w:rtl w:val="0"/>
              </w:rPr>
              <w:t xml:space="preserve">(izņemot, ja ražošanas procesā tiek izmantotas tikai fizikālās metodes (sajaukšana, atšķaidīšana</w:t>
            </w:r>
            <w:r w:rsidR="00000000" w:rsidRPr="00000000" w:rsidDel="00000000">
              <w:rPr>
                <w:rtl w:val="0"/>
              </w:rPr>
              <w:t xml:space="preserve">)" - uz kādām ķīmiskām vielām un maisījumiem šī darbība ir attiecināma, norādot, to bīstamības klasi saskaņā ar Eiropas Parlamenta un Padomes Regula Nr. 1272/2008 (2008. gada 16. decembris)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4. pielikumā izmantošanas veida </w:t>
            </w:r>
            <w:r w:rsidR="00000000" w:rsidRPr="00000000" w:rsidDel="00000000">
              <w:rPr>
                <w:i w:val="1"/>
                <w:rtl w:val="0"/>
              </w:rPr>
              <w:t xml:space="preserve">smagās rūpniecības un pirmapstrādes uzņēmumu apbūve (kods 13002)</w:t>
            </w:r>
            <w:r w:rsidR="00000000" w:rsidRPr="00000000" w:rsidDel="00000000">
              <w:rPr>
                <w:rtl w:val="0"/>
              </w:rPr>
              <w:t xml:space="preserve"> apraksts attiecībā uz ķīmisko rūpniecību tiek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4.pielikumā apbūves veida 13001 "Vieglās rūpniecības uzņēmumu apbūve" apraksta papildinājumu "tai skaitā, noliktavas rūpniecības procesa nodrošināšanai", jo noliktavas, kas nodrošina rūpniecības procesus var būt ļoti dažādas, arī tādas, kurās lielos apjomos tiek uzglabātas bīstamas ķīmiskās vielas. Ja redakcija tiek precizēta, lūdzam papildināt arī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saglabāta spēkā esošā izmantošanas veida </w:t>
            </w:r>
            <w:r w:rsidR="00000000" w:rsidRPr="00000000" w:rsidDel="00000000">
              <w:rPr>
                <w:i w:val="1"/>
                <w:rtl w:val="0"/>
              </w:rPr>
              <w:t xml:space="preserve">vieglās rūpniecības uzņēmumu apbūve (kods 13001)</w:t>
            </w:r>
            <w:r w:rsidR="00000000" w:rsidRPr="00000000" w:rsidDel="00000000">
              <w:rPr>
                <w:rtl w:val="0"/>
              </w:rPr>
              <w:t xml:space="preserve"> apraksta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4.pielikumā apbūves veida 13002 "Smagās rūpniecības un pirmapstrādes uzņēmumu apbūve" aprakstā, kas domāts ar vārdiem "ķīmisko procesu </w:t>
            </w:r>
            <w:r w:rsidR="00000000" w:rsidRPr="00000000" w:rsidDel="00000000">
              <w:rPr>
                <w:b w:val="1"/>
                <w:u w:val="single"/>
                <w:rtl w:val="0"/>
              </w:rPr>
              <w:t xml:space="preserve">metāla plastmasas</w:t>
            </w:r>
            <w:r w:rsidR="00000000" w:rsidRPr="00000000" w:rsidDel="00000000">
              <w:rPr>
                <w:rtl w:val="0"/>
              </w:rPr>
              <w:t xml:space="preserve"> virsmu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 ar kodu 11005 un nosaukumu "Rindu māju apbūve" esošajā redakcijā skaidrota kā </w:t>
            </w:r>
            <w:r w:rsidR="00000000" w:rsidRPr="00000000" w:rsidDel="00000000">
              <w:rPr>
                <w:i w:val="1"/>
                <w:rtl w:val="0"/>
              </w:rPr>
              <w:t xml:space="preserve">"Dzīvojamā apbūve, ko veido trīs un vairāk lineāri bloķētas individuālās dzīvojamās mājas vai </w:t>
            </w:r>
            <w:r w:rsidR="00000000" w:rsidRPr="00000000" w:rsidDel="00000000">
              <w:rPr>
                <w:b w:val="1"/>
                <w:i w:val="1"/>
                <w:u w:val="single"/>
                <w:rtl w:val="0"/>
              </w:rPr>
              <w:t xml:space="preserve">trīs</w:t>
            </w:r>
            <w:r w:rsidR="00000000" w:rsidRPr="00000000" w:rsidDel="00000000">
              <w:rPr>
                <w:i w:val="1"/>
                <w:u w:val="single"/>
                <w:rtl w:val="0"/>
              </w:rPr>
              <w:t xml:space="preserve"> vai vairāku dzīvokļu</w:t>
            </w:r>
            <w:r w:rsidR="00000000" w:rsidRPr="00000000" w:rsidDel="00000000">
              <w:rPr>
                <w:i w:val="1"/>
                <w:rtl w:val="0"/>
              </w:rPr>
              <w:t xml:space="preserve"> mājas ar atsevišķu ieeju katram dzīvoklim, iekļaujot nepieciešamās palīgbūves un labiekārtojumu". </w:t>
            </w:r>
            <w:r w:rsidR="00000000" w:rsidRPr="00000000" w:rsidDel="00000000">
              <w:rPr>
                <w:rtl w:val="0"/>
              </w:rPr>
              <w:t xml:space="preserve">Vēršam uzmanību, ka Būvju klasifikācija*  nosaka, ka rindu ēka (</w:t>
            </w:r>
            <w:r w:rsidR="00000000" w:rsidRPr="00000000" w:rsidDel="00000000">
              <w:rPr>
                <w:b w:val="1"/>
                <w:u w:val="single"/>
                <w:rtl w:val="0"/>
              </w:rPr>
              <w:t xml:space="preserve">rinda</w:t>
            </w:r>
            <w:r w:rsidR="00000000" w:rsidRPr="00000000" w:rsidDel="00000000">
              <w:rPr>
                <w:rtl w:val="0"/>
              </w:rPr>
              <w:t xml:space="preserve"> no vairākām ēkām vai dzīvokļiem rindā) var sastāvēt no viendzīvokļu ēkām (Būvju klasifikācijas kods 1110), </w:t>
            </w:r>
            <w:r w:rsidR="00000000" w:rsidRPr="00000000" w:rsidDel="00000000">
              <w:rPr>
                <w:u w:val="single"/>
                <w:rtl w:val="0"/>
              </w:rPr>
              <w:t xml:space="preserve">divu dzīvokļu ēkām </w:t>
            </w:r>
            <w:r w:rsidR="00000000" w:rsidRPr="00000000" w:rsidDel="00000000">
              <w:rPr>
                <w:rtl w:val="0"/>
              </w:rPr>
              <w:t xml:space="preserve">(Būvju klasifikācijas kods 1121), kā arī trīs un vairāk dzīvokļu ēkām (kods 1122). Pozīcijas "Rindu māju apbūve" aprakstā nav ņemts vērā, ka ēku rindā var būt arī ēka ar diviem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2018. gada 12. jūnija noteikumi Nr. 326 "Būvju klasifikācijas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vienā nepārtrauktā rindā (kā rindu "ēka") var būt vairākas secīgas dažādas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ēka – ar vienu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Otrā ēka – ar diviem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ēka – ar trīs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ēka – ar vienu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ņemts vērā, ka "rindu ēku" faktiski var veidot, piemēram, tikai viena ēka ar rindā izkārtotiem 15 dzīvokļiem ar atsevišķu 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"Rindu māju apbūve" - Dzīvojamā apbūve, ko veido trīs un vairāk lineāri bloķētas individuālās dzīvojamās mājas vai </w:t>
            </w:r>
            <w:r w:rsidR="00000000" w:rsidRPr="00000000" w:rsidDel="00000000">
              <w:rPr>
                <w:u w:val="single"/>
                <w:rtl w:val="0"/>
              </w:rPr>
              <w:t xml:space="preserve">divu</w:t>
            </w:r>
            <w:r w:rsidR="00000000" w:rsidRPr="00000000" w:rsidDel="00000000">
              <w:rPr>
                <w:rtl w:val="0"/>
              </w:rPr>
              <w:t xml:space="preserve"> vai vairāku dzīvokļu mājas ar atsevišķu ieeju katram dzīvoklim, iekļaujot nepieciešamās palīgbūves un labiekārtojumu. Tāpat šo apbūvi var veidot arī </w:t>
            </w:r>
            <w:r w:rsidR="00000000" w:rsidRPr="00000000" w:rsidDel="00000000">
              <w:rPr>
                <w:u w:val="single"/>
                <w:rtl w:val="0"/>
              </w:rPr>
              <w:t xml:space="preserve">viena</w:t>
            </w:r>
            <w:r w:rsidR="00000000" w:rsidRPr="00000000" w:rsidDel="00000000">
              <w:rPr>
                <w:rtl w:val="0"/>
              </w:rPr>
              <w:t xml:space="preserve"> dzīvojamā ēka ar trīs vai vairāk dzīvokļiem ar atsevišķu ieeju katram dzīvoklim. [Iespējams, anotācijā šīs redakcijas nozīme būtu papildus jāpaskaidro, jo, atbilstoši redakcijai,  ēkām jābūt vismaz trīs, bet katrā ēkā dzīvokļu skaits var būt atšķirīgs, taču ikvienā no situācijām katram dzīvoklim ir jābūt atsevišķai ieejai. Tāpat šo apbūvi var veidot viena ēka, kurā ir vismaz trīs rindā izkārtoti dzīvokļi ar atsevišķu ieeju. Ja ēka nav rindā ar citām ēkām un šajā ēkā ir tikai divi dzīvokļi, tad tie neveido "rindu"].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redakcionāli precizē MKN 240 4. pielikuma 11. punktā noteikto teritorijas atļautās izmantošanas veida </w:t>
            </w:r>
            <w:r w:rsidR="00000000" w:rsidRPr="00000000" w:rsidDel="00000000">
              <w:rPr>
                <w:i w:val="1"/>
                <w:rtl w:val="0"/>
              </w:rPr>
              <w:t xml:space="preserve">rindu māju apbūve (kods 11005)</w:t>
            </w:r>
            <w:r w:rsidR="00000000" w:rsidRPr="00000000" w:rsidDel="00000000">
              <w:rPr>
                <w:rtl w:val="0"/>
              </w:rPr>
              <w:t xml:space="preserve"> aprakstu, papildinot to. Atbilstoši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izvērtēt  A/S "Latvijas valsts meži" priekšlikumu, kas ņemts vērā  un jaunajā grozījumu redakcijā skan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jaunu 41.2.apakšpunktu, kas noteic, ka Rūpnieciskās apbūves teritorijās (R) viens no atļautajiem papildizmantošanas veidiem ir mežsaimnieciska izmantošana (kods 21001). Redakcionāli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41.2.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mežsaimnieciskā izmantošana, ja tas saistīts ar rekultivācijas projektiem pēc derīgo izrakteņu ieguves…”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nepieciešams, lai precīzāk definētu un reizē arī ierobežotu mežsaimniecisko izmantošanu kā papildizmantošanas veidu tieši Rūpnieciskās apbūves teritorijās – t.i, teritorijās, kuras pēc būtības ir plānotas kā apbūves (atslēgas vārds ir tieši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definīcijas un zonējuma galvenā būtība ir veicināt rūpniecisku objektu būvniecību/attīstību. Ja tiek atļauta teritorijas apstādīšana ar mežiem, tad būtiski tiek ierobežota īstenā teritorijas izmantošanas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ir bijuši precedenti, kad konkrēti Rēzeknes SEZ teritorijā, kas esošajā TP redakcijā ir apzīmēta kā rūpnieciskās apbūves teritorija, vairāki privāto zemju īpašnieki bija griezušies pašvaldībā ar lūgumiem atļaut savās zemēs iestādīt mežus ar visām no tā izrietošajām sekām. Atbilstoši spēkā esošajai MKN un TP redakcijai šie lūgumi tika noraidīti. Piedāvātajā grozījumu redakcijā funkcionāli nepieciešamās Rūpnieciskās apbūves teritorijas varēs apstādīt ar mežiem, kas, savukārt, samazinās šīs teritorijas bez iespējas kādreiz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saprotama AS LVM piedāvātā redakcija , tāpēc ir priekšlikums to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Vēl kā risinājums varētu būt izveidot 2 veidu rūpnieciskās teritorijas – tas būtu apspriežams DG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MK redakcijā, kur akcents ir tieši uz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Rūpnieciskās apbūves teritorija (R) ir funkcionālā zona, ko nosaka, lai nodrošinātu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Rūpnieciskās apbūves teritorijas galvenie izmantošanas veidi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rūpnieciskā apbūve un teritorijas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tehniskā apbūve un teritorijas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Rūpnieciskās apbūves teritorijā kā papildizmantošanas veidu var noteikt publisko apbūvi un teritorijas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biroju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tirdzniecības un pakalpojumu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aizsardzības un drošības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Vienkārši  “Rūpnieciskā teritorija”,  kur akcents būtu tieši uz teritorijas rūpniecisko izmantošanu (karjeri, krautuves, purvi, loģistikas laukumi utt) ar nenozīmīgu apbūvi vai arī vispār bez tās (ir konteinerveida būves, nojumes, pārvietojamie biroji utt). Šo otro zonējumu varētu definēt ar plašākām dažāda veida papildizmantošanām tai skaitā ar LVM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41.2. un izteikt sekojošā redakcijā:“… 41.2. mežsaimnieciskā izmantošana, ja tas saistīts ar rekultivācijas projektiem pēc derīgo izrakteņu ieguves…”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redakcionāli precizē MKN 240 41.2. apakšpunktā noteikto atļauto papildizmantošanas veidu </w:t>
            </w:r>
            <w:r w:rsidR="00000000" w:rsidRPr="00000000" w:rsidDel="00000000">
              <w:rPr>
                <w:i w:val="1"/>
                <w:rtl w:val="0"/>
              </w:rPr>
              <w:t xml:space="preserve">mežsaimnieciska izmantošana (kods 21001)</w:t>
            </w:r>
            <w:r w:rsidR="00000000" w:rsidRPr="00000000" w:rsidDel="00000000">
              <w:rPr>
                <w:rtl w:val="0"/>
              </w:rPr>
              <w:t xml:space="preserve">, papildinot ar vārdiem "</w:t>
            </w:r>
            <w:r w:rsidR="00000000" w:rsidRPr="00000000" w:rsidDel="00000000">
              <w:rPr>
                <w:i w:val="1"/>
                <w:rtl w:val="0"/>
              </w:rPr>
              <w:t xml:space="preserve">kā rekultivācijas veids pēc derīgo izrakteņu ieguves"</w:t>
            </w:r>
            <w:r w:rsidR="00000000" w:rsidRPr="00000000" w:rsidDel="00000000">
              <w:rPr>
                <w:rtl w:val="0"/>
              </w:rPr>
              <w:t xml:space="preserve">. Atbilstoši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sadaļas 4.10.  Dabas un apstādījumu teritorija (DA)  50.punktu ar papildus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 Inženiertehniskā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nepieciešams, lai ņemot vērā straujo 5G tīkla attīstības nepieciešamību un ar to saistīto interneta pārklājumu, būtu iespēja izvietot/būvēt atbilstošu infrastruktūru, tai skaitā torņus un/vai mastus.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teritorijās attīstīt ar “lietu internetu “ saistīto funkcionalitāti tai skaitā arī drošības risinājumus (videonovērošana, lokācija, digitālie informatīvie stendi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Inženiertehniskā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18.jūlija sanāksmē panākta vienošanās ar Latvijas Pašvaldību savienību, par to, ka Grozījumos netiek ietverts jauns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5. punkts noteic, ka esošo un plānoto objektu funkciju nodrošināšanai, visās teritorijās atļauta inženiertīklu un objektu izbūve (5.4.apakšpunkts).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noteikumi Nr. 574 “Noteikumi par Latvijas būvnormatīvu LBN 008-14 “Inženiertīklu izvietojums”” noteic, ka inženiertīkli ir siltumapgādes, ūdensapgādes, kanalizācijas, drenāžas, elektronisko sakaru tīkli, elektroapgādes tīkli, gāzes apgādes tīkli ar spiedienu līdz 1,6 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Videonovērošanas ierīču uzstādīšana vai digitālo informatīvo stendu uzstādīšana pēc būtības vairāk atbilst teritorijas labiekārtojumam, kas arī atļauts visās teritorijās atbilstoši MKN 240 5.3. apakšpunktam, ja vien teritorijas plānojumā vai lokālplānojumā, vai normatīvajos aktos dabas un vides aizsardzības jomā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priekšlikumā minēto</w:t>
            </w:r>
            <w:r w:rsidR="00000000" w:rsidRPr="00000000" w:rsidDel="00000000">
              <w:rPr>
                <w:i w:val="1"/>
                <w:rtl w:val="0"/>
              </w:rPr>
              <w:t xml:space="preserve"> lietu internetu</w:t>
            </w:r>
            <w:r w:rsidR="00000000" w:rsidRPr="00000000" w:rsidDel="00000000">
              <w:rPr>
                <w:rtl w:val="0"/>
              </w:rPr>
              <w:t xml:space="preserve">, kas ir fizisku ierīču starptīklošana un ļauj attālināti iegūt informāciju par dažādiem ar sensoriem aprīkotiem objektiem, kā arī attālināti kontrolēt šos objektus, izmantojot esošo tīklu infrastruktūru, tai skaitā internetu, norādām, ka vispārīgās prasības elektronisko sakaru tīklu projektēšanai noteiktas Ministru kabineta 2015. gada 30. jūnija noteikumos Nr. 328 "Noteikumi par Latvijas būvnormatīvu LBN 262-15 "Elektronisko sakaru tīkli"".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131.1punktā precizēt, kas ir domāts ar faktiskiem apstākļiem, lai tas netiktu izmantots legalizējot nelikumīgi uzbūvētu būvi, kura neatbilst apbūves noteikumu prasībām, uzskatot šīs būves esamību par faktisku situāciju (apstākli)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izsvērt, vai   varbūt to var atrunāt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MKN 240 131.</w:t>
            </w:r>
            <w:r w:rsidR="00000000" w:rsidRPr="00000000" w:rsidDel="00000000">
              <w:rPr>
                <w:vertAlign w:val="superscript"/>
                <w:rtl w:val="0"/>
              </w:rPr>
              <w:t xml:space="preserve">1</w:t>
            </w:r>
            <w:r w:rsidR="00000000" w:rsidRPr="00000000" w:rsidDel="00000000">
              <w:rPr>
                <w:rtl w:val="0"/>
              </w:rPr>
              <w:t xml:space="preserve"> punkta piemērošanu ar reāliem prakses piemēriem no pašvaldību būvvaldēm.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lietoto terminu sarakstu papildināt ar terminu “ar vieglās rūpniecības uzņēmumiem saistītā apbūve”, paskaidrojot ar ko tā atšķiras no vieglās rūpniecības uzņēmumu apbūves, ja šī atšķirība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precizēt MKN 240 35.1. un 35.2. apakšpunktā, kā arī 38.2. apakšpunktā minēto atļauto izmantošanu formulējumus ar MKN 240 4. nodaļā un 4. pielikumā minētajiem formulējumiem.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ministrijas 2024. gada 17. jūnija priekšlikumu (izziņas 48. punkts) par noteikumu 163. punktu, lūdzam paredzēt, ka jautājums tiks izdiskutēts turpmākā darba procesā, iesaistot Satiksmes ministriju, VSIA "Latvijas Valsts ceļi" un Ekonomikas ministriju, lai būtu saprotams, kuros Ministru kabineta noteikumos šis jautājums būtu jāregulē un vai būtu jāregulē.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izziņas 52. punktā, 2024. gada 18. jūlija strapministriju sanāksmē panākta vienošanās ar Satiksmes ministriju un Ekonomikas ministriju, ka priekšlikuma par attāluma noteikšanu no vēja elektrostacijas līdz valsts autoceļu ass līnijai būtība ir attiecināma uz būvnormatīva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laika posmā līdz 2024.gada 31.decembrim organizēs diskusiju par minētā jautājumu iespējamu risinājumu, iesaistot Ekonomikas ministrijas, Satiksmes ministrijas, kā arī VSIA “Latvijas Valsts ceļi”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ir ieinteresēta, ka turpmākā darba procesā, kurā tiks gatavots jauns Ministru kabineta noteikumu grozījumu projekts, tiek padziļinātāk izdiskutēti arī pārējie priekšlikumi un iebildumi, kuri skar Satiksmes ministrijas kompetenci un kuri šī Ministru kabineta noteikumu projekta saskaņošanas procesā pašlaik tiek uzskatīti par saskaņotiem (piemēram, izziņas 52. un 53.punkts).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nākamo MKN 240 grozījumu projektu, kas galvenokārt būs saistīts ar transporta infrastruktūras plānošanu, atkārtoti tiks diskutēti jautājumi, kas pietiekami netika izdiskutēti šī Grozījumu projekta izstrādes laikā. Par turpmāku MKN 240 regulējuma pilnveidošanas procesu panākta vienošanas ar Satiksmes ministriju 2024. gada 12. jūlija un 18. jūlija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piedāvātā noteikumu 7.</w:t>
            </w:r>
            <w:r w:rsidR="00000000" w:rsidRPr="00000000" w:rsidDel="00000000">
              <w:rPr>
                <w:vertAlign w:val="superscript"/>
                <w:rtl w:val="0"/>
              </w:rPr>
              <w:t xml:space="preserve">1</w:t>
            </w:r>
            <w:r w:rsidR="00000000" w:rsidRPr="00000000" w:rsidDel="00000000">
              <w:rPr>
                <w:rtl w:val="0"/>
              </w:rPr>
              <w:t xml:space="preserve"> punkta redakcija daļēji atbilst informatīvajā ziņojumā “Par rīcības plānu administratīvā sloga mazināšanai nekustamo īpašumu attīstīšanas jomā” iekļautajam 7.1.1.pasākumam. Izsakām priekšlikumu precizēt anotāciju, jo noteikumu projekts ir attiecināms tikai uz vienu no četriem apakšpunktiem informatīvā ziņojuma 7.1.1.pasākumā, proti 2.apakšpunkts uzdod  iekļaut normatīvajos aktos deleģējumu pašvaldībai jaunas būvniecības gadījumos teritorijas plānojumā un lokālplānojumā  noteikt prasības publisko apstādījumu platībām konkrētajās teritorijās vai, sasaistot to ar konkrētu izmantošanas veidu. Caur teritorijas plānošanu regulēt apstādījumu teritorijas, detalizējot prasības. Ierosinām  papildināt anotāciju ar plašāku aprakstu kā piedāvātais regulējums risinās informatīvā ziņojuma 7.1.1.pasākuma 2.apakšpunktā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ka šobrīd Grozījumu projektā ietvertais 7.</w:t>
            </w:r>
            <w:r w:rsidR="00000000" w:rsidRPr="00000000" w:rsidDel="00000000">
              <w:rPr>
                <w:vertAlign w:val="superscript"/>
                <w:rtl w:val="0"/>
              </w:rPr>
              <w:t xml:space="preserve">1</w:t>
            </w:r>
            <w:r w:rsidR="00000000" w:rsidRPr="00000000" w:rsidDel="00000000">
              <w:rPr>
                <w:rtl w:val="0"/>
              </w:rPr>
              <w:t xml:space="preserve"> punkta regulējums kopsakarā ar pārējo spēkā esošo MKN 240 regulējumu ir pietiekams deleģējums pašvaldībai noteikt prasības   apstādījumu plānošanai, panākta 2024. gada 26. septembra Administratīvā sloga samazināšanas darba grupas sanāksmē, kurā piedalījās Valsts kancelejas, VARAM, Ekonomikas ministrijas un Zemkopības ministrijas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ietvertā 7.</w:t>
            </w:r>
            <w:r w:rsidR="00000000" w:rsidRPr="00000000" w:rsidDel="00000000">
              <w:rPr>
                <w:vertAlign w:val="superscript"/>
                <w:rtl w:val="0"/>
              </w:rPr>
              <w:t xml:space="preserve">1</w:t>
            </w:r>
            <w:r w:rsidR="00000000" w:rsidRPr="00000000" w:rsidDel="00000000">
              <w:rPr>
                <w:rtl w:val="0"/>
              </w:rPr>
              <w:t xml:space="preserve"> punkta regulējums atbilst informatīvā ziņojuma “Par rīcības plānu administratīvā sloga mazināšanai nekustamo īpašumu attīstīšanas jomā” iekļautajam 7.1.1. pasākuma 2. apakšpunktā dotajam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problēmas aprakstā vārdu “pieejamība” aizstāt ar vārdu “piekļūstamība”. Paskaidrojam, ka atbilstoši Latvijas Zinātņu akadēmijas Terminoloģijas komisijas lēmumam ārējos un iekšējos normatīvajos aktos tiek lietots termins “piekļūstamība” (no angļu valodas “accessibility”), skatīt Valsts valodas centra izstrādātos terminus šeit: https://termini.gov.lv/kolekcijas/3/skirklis/131.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izvērtēts atbilstoši priekšlikumā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priekšlikumā lūgts Grozījumu anotācijas 1.3.apakšnodaļā aizstāt vārdu “pieejamība” ar vārdu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vārds “pieejamība” lietots 9 reizes un četrās no tām ir skaidrota termina “vides pieejamība” maiņa atbilstoši Labklājības ministrijas iebildumā minētajam pamatojumam, savukārt Grozījumu satura izklāstam 5 reizes lietots vārds “pieejams” nepieciešamajā locījumā un tā nozīme atbilst šādiem jēdzieniem: ērti sasniedzams, viegli atrodams, viegli uztverams, tāds, ko var bez grūtībām saņemt, iegūt lietošanai, izmantošanai. Savukārt sadaļā “Problēmas apraksts” par MKN 240 69. punkta svītrošanu citēta Zemes pārvaldības likuma 15. panta septītā daļa, kur regulējumā lietots vārdu salikums “publiski pieejams”: </w:t>
            </w:r>
            <w:r w:rsidR="00000000" w:rsidRPr="00000000" w:rsidDel="00000000">
              <w:rPr>
                <w:i w:val="1"/>
                <w:rtl w:val="0"/>
              </w:rPr>
              <w:t xml:space="preserve">(7) Jūras piekrastes josla un iekšzemes publiskie ūdeņi paredzēti ikviena brīvai lietošanai un ir publiski pieejami, ja likumos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anotācijas 2. sadaļā ietvertie ietekmes apraksti nesniedz priekšstatu  par to, kas tieši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projekta anotācijas 2.2.1. uz makroekonomisko vidi, saskaņā ar vadlīnijās "Vadlīnijas tiesību akta sākotnējās ietekmes novērtēšanai un novērtējuma ziņojuma sagatavošanai vienotajā TAP portālā" (turpmāk - Vadlīnijas) noteikto, ietekmi uz makroekonomisko vidi vērtē tikai tad, ja pasākuma ieviešanai ir nozīmīga ietekme uz ekonomisko situāciju valstī kopumā. Tātad nav nepieciešams mēģināt rakstīt par ietekmi uz makroekonomisko vidi, ja problēmai nemaz nav šāda mēroga.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aprakstus ņemot vērā Vadlīnijās sniegtos ieteikumus ietekmes apraksta veidošanā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satur metodoloģiskos ieteikumus, piemērus un arī norādes ietekmes novērtējuma ziņojuma noformēšanai TAP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projektā iekļautajam regulējumam nav nozīmīga ietekme uz makroekonomisko vidi valstī kopumā, anotācijas 2.2.1. apakšpunktā norādīts, ka projektam nav ietekme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6.2. sadaļu, norādot, ka notikusi publiskā apspriede.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 apakšpunkts redakcionāli precizēts un papildināts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sabiedrības līdzdalība Tiesību aktu projektu publiskajā portālā (turpmāk – TAP) tika organizēta no 2024. gada 29. aprīļa līdz 2024. gada 13. maijam. Grozījumu projekta dokumentācija bija publiski pieejama TAP, interesenti tai varēja brīvi piekļūt un iesniegt savus iebildumus un priekšlikumus. Grozījumu projekta saturs, pirms tā izsludināšanas TAP, vairākkārt tika skatīts un diskutēts Darba grupas sanāksmēs (2024.gada 8.februārī, 21.februārī, 8.martā, 28.martā, 18.aprīlī un 24.aprīlī), kur ikvienam ar teritorijas plānošanu saistītajam speciālistam bija iespēja uzdot jautājumus un saņemt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būvlaide – projektētā līnija, kas nosaka attālumu starp ielas sarkano līniju un tuvāko virszemes būvi (pilsētās un ciemos) vai autoceļa aizsargjoslu un tuvāko virszemes būvi (lauku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2.6.apakšpunktu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būvlaide – projektētā līnija, kas nosaka attālumu no ceļa aizsargjoslas līdz tuvākajai virszemes būvei (pilsētās visām ielām, bet ciemos tikai pašvaldības autoceļiem) vai autoceļa aizsargjoslu un tuvāko virszemes būvi (ciemos un lauku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 panākta vienošanās par turpmāko rīcību saistībā ar transporta infrastruktūras plānošanas regulējuma sagatavošanu nākamajiem MKN 240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Grozījumu projekta anotācijā, šis projekts ietver prioritārā kārtībā veicamos grozījumus un precizējumus MKN 240 un sagatavots pamatojoties uz ieinteresēto pušu (pašvaldību, institūciju, ekspertu) iesniegtajiem priekšlikumiem, kas atbalstīti arī Darba grupā. Vienlaikus VARAM ir aktualizējusi priekšlikumus turpmākajā darba procesā diskutējamam jautājumu lokam, tai skaitā regulējumam par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paredzēta publiskajai ārtelpai vai koplietošanas apstādījumiem (kas neietilpst ielu, ceļu un laukumu teritorijā), veidošanai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pēc iespējas labskanīgu. Ievērojot minēto, lūdzam precizēt projekta 1. punktā ietverto Noteikumu 7.</w:t>
            </w:r>
            <w:r w:rsidR="00000000" w:rsidRPr="00000000" w:rsidDel="00000000">
              <w:rPr>
                <w:vertAlign w:val="superscript"/>
                <w:rtl w:val="0"/>
              </w:rPr>
              <w:t xml:space="preserve">1</w:t>
            </w:r>
            <w:r w:rsidR="00000000" w:rsidRPr="00000000" w:rsidDel="00000000">
              <w:rPr>
                <w:rtl w:val="0"/>
              </w:rPr>
              <w:t xml:space="preserve"> punktu, izvairoties no vārda "paredzēta" lietošanas palīgteikumā, piemēram, aizstājot vārdus "kas </w:t>
            </w:r>
            <w:r w:rsidR="00000000" w:rsidRPr="00000000" w:rsidDel="00000000">
              <w:rPr>
                <w:u w:val="single"/>
                <w:rtl w:val="0"/>
              </w:rPr>
              <w:t xml:space="preserve">paredzēta</w:t>
            </w:r>
            <w:r w:rsidR="00000000" w:rsidRPr="00000000" w:rsidDel="00000000">
              <w:rPr>
                <w:rtl w:val="0"/>
              </w:rPr>
              <w:t xml:space="preserve"> publiskajai ārtelpai" ar vārdiem, kas "kas </w:t>
            </w:r>
            <w:r w:rsidR="00000000" w:rsidRPr="00000000" w:rsidDel="00000000">
              <w:rPr>
                <w:u w:val="single"/>
                <w:rtl w:val="0"/>
              </w:rPr>
              <w:t xml:space="preserve">iedalīta</w:t>
            </w:r>
            <w:r w:rsidR="00000000" w:rsidRPr="00000000" w:rsidDel="00000000">
              <w:rPr>
                <w:rtl w:val="0"/>
              </w:rPr>
              <w:t xml:space="preserve"> publiskajai ārtelpai" vai ar citu labskanīgu vārdu salikumu.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precizēt MKN 240 7.</w:t>
            </w:r>
            <w:r w:rsidR="00000000" w:rsidRPr="00000000" w:rsidDel="00000000">
              <w:rPr>
                <w:vertAlign w:val="superscript"/>
                <w:rtl w:val="0"/>
              </w:rPr>
              <w:t xml:space="preserve">1 </w:t>
            </w:r>
            <w:r w:rsidR="00000000" w:rsidRPr="00000000" w:rsidDel="00000000">
              <w:rPr>
                <w:rtl w:val="0"/>
              </w:rPr>
              <w:t xml:space="preserve">punktu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plānota publiskajai ārtelpai vai publiskiem apstādījumiem (kas neietilpst ielu, ceļu un laukumu teritorijā), veidošanai un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zemes vienību minimālo platību nav attiecināmas,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27.</w:t>
            </w:r>
            <w:r w:rsidR="00000000" w:rsidRPr="00000000" w:rsidDel="00000000">
              <w:rPr>
                <w:vertAlign w:val="superscript"/>
                <w:rtl w:val="0"/>
              </w:rPr>
              <w:t xml:space="preserve">1</w:t>
            </w:r>
            <w:r w:rsidR="00000000" w:rsidRPr="00000000" w:rsidDel="00000000">
              <w:rPr>
                <w:rtl w:val="0"/>
              </w:rPr>
              <w:t xml:space="preserve"> panta otrajai daļai valsts, pašvaldību un komersantu autoceļu būvniecībai, uzturēšanai un aizsardzībai tiek noteikta ceļu zemes nodalījuma josla, kuras minimālie platumi ir noteikti dažādi – no 9,5 līdz 25 metriem. Savukārt dabā bieži ir situācija, ka ceļu zemes nodalījuma josla ir lielāka kā minimālā noteiktā. VSIA "Latvijas Valsts ceļi" vairākkārtīgi ir saskārusies ar situāciju, ka ceļu zemes nodalījuma josla ir lielāka kā minimālā noteiktā, un ir rosinājusi veikt attiecīgā zemesgabala sadali, lai platību, kas nav nepieciešama publiskas infrastruktūras uzturēšanai vai aizsardzībai, nodalītu un nodotu citai publiskai personai vai atvasinātai publiskai personai, kas varētu īstenot funkciju, kas nav saistīta ar publiskās infrastruktūras funkcijas nodrošināšanu. Vēršoties pie attiecīgās pašvaldības, lai īstenotu zemes ierīcības projektu, saņemtu pašvaldības lēmumu un nodalītu platību, kas nav nepieciešama valsts autoceļa būvniecībai, uzturēšanai vai aizsardzībai, ir saņemti atteikumi veikt plānoto sadali, to pamatojot ar neatbilstību attiecīgās pašvaldības Teritorijas plānojumā noteikto minimālo zemesgabala platību. Šādu zemes vienību izveide, robežu kadastrālā uzmērīšana, reģistrēšana Zemesgrāmatā un atsavināšanai par labu citai publiskai vai atsavinātai publiskai personai ir liels finansiāls slogs, tādēļ šādu zemes vienību izveidei būtu jārod atsevišķs risinājums, kā, piemēram, to nodošana atvieglotā kārtībā blakus esošo zemes 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likuma 16.</w:t>
            </w:r>
            <w:r w:rsidR="00000000" w:rsidRPr="00000000" w:rsidDel="00000000">
              <w:rPr>
                <w:vertAlign w:val="superscript"/>
                <w:rtl w:val="0"/>
              </w:rPr>
              <w:t xml:space="preserve">1</w:t>
            </w:r>
            <w:r w:rsidR="00000000" w:rsidRPr="00000000" w:rsidDel="00000000">
              <w:rPr>
                <w:rtl w:val="0"/>
              </w:rPr>
              <w:t xml:space="preserve"> pantā ir norādīts, ka, īstenojot nekustamo īpašumu atsavināšanas procesu sabiedrības vajadzībām, pēc atdalīšanas atlikusī projektētās teritorijas daļa var veidot starpgabalu un neatbilst vietējās pašvaldības teritorijas izmantošanas un apbūves noteikumiem tikai tad, ka starp nekustamā īpašuma īpašnieku un institūciju, kas nekustamo īpašumu atsavina, ir panākta attiecīga vienošanās. Ņemot vērā to, ka Sabiedrības vajadzībām nepieciešamā nekustamā īpašuma atsavināšanas likuma 8. panta otrā daļa noteic, ka institūcijai ir tiesības bez nekustamā īpašuma īpašnieka piekrišanas veikt projektēšanas sagatavošanas un projektēšanas darbus, kur projektēšanas stadijā tiek veikti arī zemes ierīcības darbi, VSIA "Latvijas Valsts ceļi" ir saskārusies ar situāciju, kad attiecīgā pašvaldība atsaka veikt zemes gabalu sadali, pamatojoties ar to, ka institūcija neiesniedz vienošanos ar attiecīgo nekustamā īpašuma īpašnieku, lai gan vienošanās par atlikušās daļas atsavināšanu vai saglabāšanu privātpersonas īpašumā var tikt panākta arī citā atsavināšanas procesa stadijā. Tāpat VSIA "Latvijas Valsts ceļi" aizvien vairāk identificē tos zemes gabalus, kuru ietvaros saskaras vairāku valstij nozīmīgu projektu intereses – kā, piemēram, attiecīgā autoceļa attīstības projekts un ātrgaitas dzelzceļa Rail Baltica projekts. Katram no minētajiem projektiem ir nepieciešama zemes gabala platība, ko ir nepieciešams no kopējā zemes gabala atdalīt, veicot nekustamā īpašuma sadali, un var būt gadījumi, ka paliekošā zemes gabala platība neatbilst attiecīgās pašvaldības teritorijas plānojumā noteiktai minimālai zemesgabala platībai. Līdz ar to sākotnēji no privātpersonas ir jāatsavina nesadalīta zemes vienība un tikai pēc īpašumtiesību reģistrēšanas valsts īpašumā zemes vienībai būs iespējams veikt sadali, nodalot abu infrastruktūru platības un starpgabalus.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11.punktu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priekšlikums tiks ņemts vērā, būs nepieciešams veikt grozījumus Zemes ierīcības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zemes vienību minimālo platību nav attiecināmas,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 nepieciešama inženierbūvju vai publiskās infrastruktūras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 tiek veidota, nodalot zemes vienības daļu no publiskai infrastruktūrai nepieciešamās zemes vienības, kas nav nepieciešama publiskās infrastruktūras funkcijas nodrošināšanai un ir nododama citai publiskai personai vai atvasinātai publiskai personai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paliekošā platība zemes vienībai ir izveidota, sadalot zemes vienību un atsavinot nepieciešamo platību sabiedrības vajadzībām; 11.4. jaunā zemes vienība tiek veidota, apvienojot vairākas mazākas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par turpmāko rīcību problēmjautājumu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Grozījumu projekta anotācijā, šis projekts ietver prioritārā kārtībā veicamos grozījumus un precizējumus MKN 240 un sagatavots pamatojoties uz ieinteresēto pušu (pašvaldību, institūciju, ekspertu) iesniegtajiem priekšlikumiem, kas atbalstīti arī Darba grupā. Vienlaikus VARAM ir aktualizējusi priekšlikumus turpmākajā darba procesā diskutējamam jautājumu lokam. Priekšlikumā ierosinātais jautājums par zemes gabalu nodalīšanu, tai skaitā par Zemes ierīcības likuma grozījumiem, risināms kopā ar Tieslietu ministriju, Ekonomikas ministriju un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zemes vienību minimālo platību nav attiecināmas,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Teritorijas plānojumā, lokālplānojumā un detālplānojumā funkcionālajām zonām un teritorijām ar īpašiem noteikumiem izmanto šo noteikumu </w:t>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pielikumā minētos apzīmējumus.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Normatīvo aktu projektu izstrādes rokasgrāmatas, var grozīt arī Ministru kabineta noteikumu pielikumu redakciju (sk. 88.lpp.). No noteikumu grozījumu anotācijas LLPA nav skaidrs, kādēļ Ministru kabineta noteikumu Nr.240 1.pielikumu nevar izteikt 1.1 pielikuma redakcijā. Tas izslēgtu nepieciešamību arī dzēst 1.pielikumu un papildināt ar 1.1 pielikumu. 1.1 pielikums būtu iekļaujams tikai tajā gadījumā, ja tas regulētu noteikumos Nr.240 jaunu situāciju. Savukārt esošie pielikumi ir dzēšami, ja tie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tiesību akti tiek izstrādāti strukturētu datu veidā, bet Grozījumu projekts paredz aizstāt spēkā esošos nestrukturētu datu veidā pievienotos pielikumus ar redakcionāli precizētiem, nestrukturētu datu veidā sagatavotiem 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Teritorijas plānojumā, lokālplānojumā un detālplānojumā funkcionālajām zonām un teritorijām ar īpašiem noteikumiem izmanto šo noteikumu </w:t>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pielikumā minētos apzīmējumus.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konkrētajai situācijai un izvēlētajai detalizācijas pakāpei teritorijas plānojumā vai lokālplānojumā katrai funkcionālajai zonai var noteikt apakšzonas, pievienojot funkcionālās zonas apzīmējuma burtiem ciparu indeksu. Katrai zonai un apakšzonai attiecīgi teritorijas plānojuma vai lokālplānojuma apbūves noteikumos nosaka atļautos izmantošanas veidus atbilstoši šo noteikumu 4. pielikumā norādītajam izmantošanas veidu aprakstam un, ja nepieciešams, konkrētus apbūves parametrus.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Normatīvo aktu projektu izstrādes rokasgrāmatas, var grozīt arī Ministru kabineta noteikumu pielikumu redakciju (sk. 88.lpp.). No noteikumu grozījumu anotācijas LLPA nav skaidrs, kādēļ Ministru kabineta noteikumu Nr.240 3.pielikumu nevar izteikt 4.pielikuma redakcijā. Tas izslēgtu nepieciešamību dzēst 3.pielikumu un papildināt ar 4.pielikumu.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attiecīgi ietekmē visas tiesību normas, kurās 4.pielikums tiek pieminēts, aizstājot 3.pielikumu, proti, grozījumu 7. un 65.punktu, un dzēsts 3.pielikums (grozījumu 70.punkts).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tiesību akti tiek izstrādāti strukturētu datu veidā, bet Grozījumu projekts paredz aizstāt spēkā esošos nestrukturētu datu veidā pievienotos pielikumus ar redakcionāli precizētiem, nestrukturētu datu veidā sagatavotiem 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konkrētajai situācijai un izvēlētajai detalizācijas pakāpei teritorijas plānojumā vai lokālplānojumā katrai funkcionālajai zonai var noteikt apakšzonas, pievienojot funkcionālās zonas apzīmējuma burtiem ciparu indeksu. Katrai zonai un apakšzonai attiecīgi teritorijas plānojuma vai lokālplānojuma apbūves noteikumos nosaka atļautos izmantošanas veidus atbilstoši šo noteikumu 4. pielikumā norādītajam izmantošanas veidu aprakstam un, ja nepieciešams, konkrētus apbūves parametrus.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Mazstāvu dzīvojamās apbūves teritorija (DzM</w:t>
            </w:r>
            <w:r w:rsidR="00000000" w:rsidRPr="00000000" w:rsidDel="00000000">
              <w:rPr>
                <w:b w:val="1"/>
                <w:rtl w:val="0"/>
              </w:rPr>
              <w:t xml:space="preserve">)</w:t>
            </w:r>
            <w:r w:rsidR="00000000" w:rsidRPr="00000000" w:rsidDel="00000000">
              <w:rPr>
                <w:rtl w:val="0"/>
              </w:rPr>
              <w:t xml:space="preserve"> ir funkcionālā zona ar apbūvi, kas nepārsniedz trīs stāvus. To nosaka, lai nodrošinātu mājokļa funkciju, paredzot atbilstošu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Mazstāvu apbūves</w:t>
            </w:r>
            <w:r w:rsidR="00000000" w:rsidRPr="00000000" w:rsidDel="00000000">
              <w:rPr>
                <w:rtl w:val="0"/>
              </w:rPr>
              <w:t xml:space="preserve"> definīcija un tās kritēriji (</w:t>
            </w:r>
            <w:r w:rsidR="00000000" w:rsidRPr="00000000" w:rsidDel="00000000">
              <w:rPr>
                <w:u w:val="single"/>
                <w:rtl w:val="0"/>
              </w:rPr>
              <w:t xml:space="preserve">virszemes</w:t>
            </w:r>
            <w:r w:rsidR="00000000" w:rsidRPr="00000000" w:rsidDel="00000000">
              <w:rPr>
                <w:rtl w:val="0"/>
              </w:rPr>
              <w:t xml:space="preserve"> stāvu skaits nepārsniedz 3) ir noteikti šo noteikumu 2.18.apakšpunktā</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iespējams, 27.punktā ir lieki un dublējoši noteikt kritēriju tieši mazstāvu dzīvojamās apbūves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27.punktā noteiktais kritērijs stāvu skaitam (nepārsniedz trīs stāvus) skaidri nenosaka to, vai tie ir tikai virszemes stāvi, vai visu stāvu skaits kopā (visu virszemes un pazemes stāvu skaits kopā). Šķiet, ka ar stāvu skaitu 27.punkta esošajā redakcijā ir domāts tikai virszemes stāvu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Mazstāvu dzīvojamās apbūves teritorija (DzM) ir funkcionālā zona ar apbūvi, kas nepārsniedz trīs </w:t>
            </w:r>
            <w:r w:rsidR="00000000" w:rsidRPr="00000000" w:rsidDel="00000000">
              <w:rPr>
                <w:u w:val="single"/>
                <w:rtl w:val="0"/>
              </w:rPr>
              <w:t xml:space="preserve">virszemes</w:t>
            </w:r>
            <w:r w:rsidR="00000000" w:rsidRPr="00000000" w:rsidDel="00000000">
              <w:rPr>
                <w:rtl w:val="0"/>
              </w:rPr>
              <w:t xml:space="preserve"> stāvus. To nosaka, lai nodrošinātu mājokļa funkciju, paredzot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Mazstāvu dzīvojamās apbūves teritorija (DzM) ir funkcionālā zona, lai nodrošinātu mājokļa funkciju, paredzot atbilstošu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sanāksmē panākta vienošanās ar Ekonomikas ministriju par MKN 240 27. punkta negrozīšanu.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normatīvais regulējums skatāms kompleksi, neizraujot kādu normu no kopējā konteksta, MKN 240 2.18. apakšpunkts un 27. punkts kopsakarā sniedz skaidru regulējuma satura skaidrojumu, proti, runa ir par trīs virszemes stāviem.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Mazstāvu dzīvojamās apbūves teritorijas galvenais izmantošanas veids ir savrupmāju apbūve, rindu māju apbūve un daudzdzīvokļu māju apbūve līdz trijiem stāviem.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27.punkta.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28.punkta mērķis ir noteikt galvenos izmantošanas veidus. Kritērijs (līdz trīs virszemes stāviem) ir jau noteikts šo noteikumu 2.18.punktā un dublēts arī 27.punktā, tādēļ, iespējams, šo kritēriju nevajag vēlreiz atkārtot arī 28.punktā.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 noteikumu 31.punkts, kas pēc nozīmes ir līdzīgi veidots, nesatur informāciju par kritēriju stāvu skaitā, jo tas ir noteikts citur, tādēļ 27.punkts būtu veidojams līdzīgi - bez norādes un pieļaujamo virszemes stāvu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Mazstāvu dzīvojamās apbūves teritorijas galvenais izmantošanas veids ir savrupmāju apbūve, rindu māju apbūve un daudzdzīvokļu māju apbūve līdz </w:t>
            </w:r>
            <w:r w:rsidR="00000000" w:rsidRPr="00000000" w:rsidDel="00000000">
              <w:rPr>
                <w:u w:val="single"/>
                <w:rtl w:val="0"/>
              </w:rPr>
              <w:t xml:space="preserve">trīs virszemes</w:t>
            </w:r>
            <w:r w:rsidR="00000000" w:rsidRPr="00000000" w:rsidDel="00000000">
              <w:rPr>
                <w:rtl w:val="0"/>
              </w:rPr>
              <w:t xml:space="preserve">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Mazstāvu dzīvojamās apbūves teritorijas galvenais izmantošanas veids ir savrupmāju apbūve, rindu māju apbūve un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28. punkta redakcija precizēta, ņemot vērā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Mazstāvu dzīvojamās apbūves teritorijas galvenais izmantošanas veids ir savrupmāju apbūve, rindu māju apbūve un daudzdzīvokļu māju apbūve.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Daudzstāvu dzīvojamās apbūves teritorija (DzD) ir funkcionālā zona ar apbūvi no četriem un vairāk stāviem, ko nosaka, lai nodrošinātu mājokļa funkciju,  paredzot atbilstošu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Daudzstāvu apbūves definīcija un tās kritērijs (</w:t>
            </w:r>
            <w:r w:rsidR="00000000" w:rsidRPr="00000000" w:rsidDel="00000000">
              <w:rPr>
                <w:u w:val="single"/>
                <w:rtl w:val="0"/>
              </w:rPr>
              <w:t xml:space="preserve">virszemes</w:t>
            </w:r>
            <w:r w:rsidR="00000000" w:rsidRPr="00000000" w:rsidDel="00000000">
              <w:rPr>
                <w:rtl w:val="0"/>
              </w:rPr>
              <w:t xml:space="preserve"> stāvu skaits ir 4 vai vairāk) ir noteikts šo noteikumu 2.7.apakšpunktā.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iespējams, 30.punktā ir lieki un dublējoši noteikt to pašu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30.punktā noteiktais kritērijs stāvu skaitam (skaits ir 4 vai vairāk) skaidri nenosaka to, vai tie ir tikai virszemes stāvi, vai visu stāvu skaits kopā (visu virszemes un pazemes stāvu skaits kopā). Šķiet, ka ar stāvu skaitu 30.punkta esošajā redakcijā ir domāts tikai virszemes stāvu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Daudzstāvu dzīvojamās apbūves teritorija (DzD) ir funkcionālā zona, ko nosaka, lai nodrošinātu mājokļa funkciju, paredzot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Daudzstāvu dzīvojamās apbūves teritorija (DzD) ir funkcionālā zona ar apbūvi no četriem un vairāk virszemes stāviem, ko nosaka, lai nodrošinātu mājokļa funkciju, paredzot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sanāksmē panākta vienošanās par MKN 240 30. punkta saglabāšanu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normatīvais regulējums skatāms kompleksi, neizraujot kādu normu no kopējā konteksta, MKN 240 2.7. apakšpunkts un 30. punkts kopsakarā sniedz skaidru regulējuma skaidrojumu, proti, runa ir par virszemes stāviem no un virs četriem stāviem.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derīgo izrakteņu ieguves vietu rekultivāciju atbilstoši konkrētās vietas situācijai, aicinām neierobežot derīgo izrakteņu ieguvēju un nenoteikt mežsaimniecisku izmantošanu kā vienīgo rekultivācijas veidu rūpnieciskās apbūves teritorijā. Rekultivācijas veikšana pēc derīgo izrakteņu ieguves pabeigšanas ir obligāta atbilstoši likumam “Par zemes dzīlēm” un Ministru kabineta noteikumiem Nr. 570 “Derīgo izrakteņu ieguves kārtība”, tāpēc nepieciešams izskatīt priekšlikumu ieguvējam atļaut izvēlēties piemērotāko rekultivācijas veidu. Piemēram, Ministru kabineta rīkojumā “Par Kūdras ilgtspējīgas izmantošanas pamatnostādnēm 2020.–2030. gadam” izvērsti aprakstīti astoņi kūdras ieguves vietu rekultivācijas veidi, kurus var pielāgot atbilstoši vietas apstākļiem, raksturam, novietojumam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piedāvā 41.2. punktu izteikt šādā redakcijā: </w:t>
            </w:r>
            <w:r w:rsidR="00000000" w:rsidRPr="00000000" w:rsidDel="00000000">
              <w:rPr>
                <w:b w:val="1"/>
                <w:rtl w:val="0"/>
              </w:rPr>
              <w:t xml:space="preserve">41.2. rekultivācija pēc derīgo izrakteņu ieguves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noteic noteiktu teritorijas izmantošanas veidu apjomu, kas noteikts šĪ Grozījumu projekta 4.pielikumā. MKN 240 4.nodaļā katrā funkcionālajā zonā ir uzskaitīti tajā atļauto izmantošanas veidi, ņemot vērā minēto 4.pielikumu. "Rekultivācija pēc derīgo izrakteņu ieguves pabeigšanas" nav iekļauts 4.pielikumā kā atsevišķs teritorijas izmantošanas veids un piedāvātā redakcija neatbilst MKN 240 struktūrai, kas noteikta, lai teritorijas attīstības plānošanu pašvaldības varētu veikt izmantojot Teritorijas attīstības plānošanas informācijas sistēmu (TAPIS) strukturētu datu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projektā ietverto MK noteikumu Nr.240 41.2. apakšpunktu aiz vārda “ieguves” ar vārdu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augusta noteikumu Nr. 570 "Derīgo izrakteņu ieguves kārtība” 86.</w:t>
            </w:r>
            <w:r w:rsidR="00000000" w:rsidRPr="00000000" w:rsidDel="00000000">
              <w:rPr>
                <w:vertAlign w:val="superscript"/>
                <w:rtl w:val="0"/>
              </w:rPr>
              <w:t xml:space="preserve">1</w:t>
            </w:r>
            <w:r w:rsidR="00000000" w:rsidRPr="00000000" w:rsidDel="00000000">
              <w:rPr>
                <w:rtl w:val="0"/>
              </w:rPr>
              <w:t xml:space="preserve"> punkts noteic, ka rekultivāciju var veikt vienlaikus ar derīgo izrakteņu ieguvi. Ja tiek iegūti kristāliskā pamatklintāja ieži,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par Grozījumu projekta precizēšanu, MKN 240 41.2. apakšpunktu papildinot ar vārdu “pabeigšanas” aiz vārda “ieguves”,  nonāktu pretrunā ar Ministru kabineta 2012. gada 21. augusta noteikumiem Nr. 570 "Derīgo izrakteņu ieguves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šāda MKN 240 41.2. apakšpunkta redakciju atbalsta ar Zemkopības ministrija, tai skaitā AS “Latvijas valsts meži”, kas ir šī grozījuma iniciatori.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41.2. apakšpunkta precizētā redakcija saskaņota ar Klimata un enerģētikas ministrijas Piesārņojuma novēršanas departamentu elektroniski 2024. gada 16.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mežsaimnieciska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49.2. apakšpunkta redakciju un 52.2.apakšpunkta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apakšpunkta redakcija neatbilst DA izveides mērķim, kas ir saistīts ar rekreācijas, dabas un kultūrvides funkcijām, bet nav piemērots saimniecisko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Līdzšinējo izmantošanas veidu mežsaimnieciska teritorijas izmantošana (21001) un mežs īpaši aizsargājamās dabas teritorijās (21002) apvienošana vienā veidā - mežsaimnieciska izmantošana (21001) var būt maldinoša, pretrunīga un atšķirīgi interpretējama. Nav pamata mežus īpaši aizsargājamās dabas teritorijās nosaukt par teritoriju ar mežsaimniecisku izmantošanu, jo ĪADT statuss var būt saistīts ar mežsaimnieciskās darbības ierobežojumiem, vai pat aizliegumiem. Anotācijā minētais nošķīrums, ka šo mežu veidu izmantošanu regulē dažādi normatīvie akti, tieši ir pamatojums izdalīt tos kā atsevišķus izmantošanas veidus nevis apvienot vienā.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atsevišķus izmantošanas veidus mežsaimnieciska teritorijas izmantošana (21001) un mežs īpaši aizsargājamās dabas teritorijās (21002), saglabāt 49.2.apakšpunktu esošajā redakcijā un saglabāt 52.2.apakšpunktu.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 jūlija sanāksmē, piedaloties Latvijas Lielo pilsētu asociācijas, VARAM, Dabas aizsardzības pārvaldes un Jūrmalas valstspilsētas pašvaldības pārstāvjiem, panākta vienošanās par spēkā esošās MKN 240 redakcijas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spēkā esošā MKN 240 redakcija attiecībā uz teritorijas izmantošanas veidiem </w:t>
            </w:r>
            <w:r w:rsidR="00000000" w:rsidRPr="00000000" w:rsidDel="00000000">
              <w:rPr>
                <w:i w:val="1"/>
                <w:rtl w:val="0"/>
              </w:rPr>
              <w:t xml:space="preserve">mežsaimnieciska teritorijas izmantošana (kods 21001) </w:t>
            </w:r>
            <w:r w:rsidR="00000000" w:rsidRPr="00000000" w:rsidDel="00000000">
              <w:rPr>
                <w:rtl w:val="0"/>
              </w:rPr>
              <w:t xml:space="preserve">un </w:t>
            </w:r>
            <w:r w:rsidR="00000000" w:rsidRPr="00000000" w:rsidDel="00000000">
              <w:rPr>
                <w:i w:val="1"/>
                <w:rtl w:val="0"/>
              </w:rPr>
              <w:t xml:space="preserve">mežs īpaši aizsargājamās dabas teritorijās (kods 21002)</w:t>
            </w:r>
            <w:r w:rsidR="00000000" w:rsidRPr="00000000" w:rsidDel="00000000">
              <w:rPr>
                <w:rtl w:val="0"/>
              </w:rPr>
              <w:t xml:space="preserve"> visā noteikumu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viensētu apbūve, ja vienas viensētas izveidei paredzētās zemes vienības platība nav mazāka par 2 ha un vidi un dabas aizsardzību vai meža nozari regulējošajos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tuvākajā laikā atjaunot diskusiju, lai vēl šajā gadā vienotos par šīs u.c.birokrātiski nesamērīgo normu mazināšanu un vairāk atļaut izlemt pašvaldību saistošajos noteikumos, vadoties pēc konkrētiem apstākļiem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laika posmā līdz  2024.gada 31.decembrim  aktualizēs diskusiju par minēto jautājumu Teritorijas attīstības plānošanas sistēmas pilnveides darba grupā, pieaicinot arī Zemkopības ministrijas un Latvijas Pašvaldību savienības ekspertus, kā arī pašvaldību plānošanas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viensētu apbūve, ja vienas viensētas izveidei paredzētās zemes vienības platība nav mazāka par 2 ha un vidi un dabas aizsardzību vai meža nozari regulējošajos normatīvajos aktos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inženiertīklu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anotācijas izriet, ka šobrīd spēkā esošā redakcija “inženiertehniskās apgādes nodrošinājumu” tiek izteikta šādā redakcijā, jo būvniecības jomā tiek lietots termins “inženiertīkli”. Taču jānorāda, ka termins “inženiertehniskās apgādes tīkli” tiek lietots ne tikai šajā tiesību normā, bet arī citas noteikumu Nr.240 tiesību normās, kurās šis termins netiek grozīts. Tādējādi tiek veicināts, ka viena normatīvā akta ietvaros tiek izmantoti dažādi termini viena objekta apzīmēšanai.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izskatīts un izvērtēts gatavojot nākamos grozījumus MKN 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inženiertīklu nodrošinājumu;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Teritorijas plānojumā vai lokālplānojumā ietver vispārīgu transporta attīstības plānu, kurā shematiski attēlo vienotu ielu un ceļu tīklu, tai skaitā plānoto ielu un ceļu trases, perspektīvos pievienojumus, transporta mezglus, kā arī ielu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tīkla un ar to saistīto ceļu pievienojumu plānošanā valsts autoceļiem pamatmateriāls ir VSIA “Latvijas Valsts ceļi” izveidotais ceļu pievienojumu reģistrs. Ņemot vērā minēto, lūdzam precizēt noteikumu 76.punktu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Teritorijas plānojumā vai lokālplānojumā ietver vispārīgu transporta attīstības plānu, kurā shematiski attēlo vienotu ielu un ceļu tīklu, tai skaitā plānoto ielu un ceļu trases, krustojumus teritoriju apkalpojošos pievienojumus, transporta mezglus, kā arī ielu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Satiksmes ministriju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Grozījumu anotācijas pašreizējās situācijas aprakstā, šie Grozījumi ietver prioritārā kārtībā veicamos MKN 240 grozījumus un precizējumus un projekts sagatavots pamatojoties uz ieinteresēto pušu (pašvaldību, institūciju, ekspertu) iesniegtajiem priekšlikumiem, kas izdiskutēts un atbalstīts arī teritorijas attīstības plānošanas sistēmas pilnveides darba grupas (turpmāk - Darba grupa) sanāksmēs. Vienlaikus VARAM kopīgi ar Darba grupu jau ir aktualizējusi priekšlikumus turpmākajā darba procesā izstrādājamiem MKN 240 grozījumiem, tai skaitā transporta infrastruktūras plānošanai, kuru sagatavošanai nepieciešamas padziļinātākas diskusijas gan ar pašvaldībām, gan iesaistītajām institūcijām - Satiksmes ministriju un VSIA "Latijas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priekšlikums tiks izdiskutēts sagatavojot MKN 240 grozījumus transporta infrastruktūras plānošanas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Teritorijas plānojumā vai lokālplānojumā ietver vispārīgu transporta attīstības plānu, kurā shematiski attēlo vienotu ielu un ceļu tīklu, tai skaitā plānoto ielu un ceļu trases, perspektīvos pievienojumus, transporta mezglus, kā arī ielu kategorijas.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Detalizētu transporta attīstības plānu kā tematisko plānojumu izstrādā pilsētām, ciemiem vai to daļām, vai, ja nepieciešams, visai pašvaldības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infrastruktūras un piekļuves jautājumi ir jārisina vienlaicīgi ar teritorijas plānošanu, it īpaši plānojot jaunas apbūves teritorijas valsts autoceļu tuvumā. Nereti transporta attīstības plānu izstrāde tiek atlikta uz nenoteiktu laiku, piekļuves jautājumus risinot nevis kompleksi, iespējami lielākām teritorijām, bet atsevišķām zemes vienībām. Tādējādi ne tikai netiek iegūti optimāli piekļuves risinājumi, bet arī tiek palielinātas izmaksas un attiecīgo risinājumu un plānošanas dokumentu izstrādē un saskaņošanā iesaistīto cilvēkresursu daudzums. Ņemot vērā minēto, lūdzam precizēt noteikumu 77.punktu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Detalizētu transporta attīstības plānu kā tematisko plānojumu izstrādā pilsētām, ciemiem vai to daļām, vai, ja nepieciešams, visai pašvaldības teritorijai. Izstrādājot novada teritorijas plānojumu, detalizētu transporta attīstības plānu izstrādā teritorijas plānojuma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Satiksmes ministriju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Grozījumu anotācijas pašreizējās situācijas aprakstā, šie Grozījumi ietver prioritārā kārtībā veicamos MKN 240 grozījumus un precizējumus un projekts sagatavots pamatojoties uz ieinteresēto pušu (pašvaldību, institūciju, ekspertu) iesniegtajiem priekšlikumiem, kas izdiskutēts un atbalstīts arī teritorijas attīstības plānošanas sistēmas pilnveides darba grupas (turpmāk - Darba grupa) sanāksmēs. Vienlaikus VARAM kopīgi ar Darba grupu jau ir aktualizējusi priekšlikumus turpmākajā darba procesā izstrādājamiem MKN 240 grozījumiem, tai skaitā transporta infrastruktūras plānošanai, kuru sagatavošanai nepieciešamas padziļinātākas diskusijas gan ar pašvaldībām, gan iesaistītajām institūcijām - Satiksmes ministriju un VSIA "Latijas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priekšlikums tiks izdiskutēts sagatavojot MKN 240 grozījumus transporta infrastruktūras plānošanas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Detalizētu transporta attīstības plānu kā tematisko plānojumu izstrādā pilsētām, ciemiem vai to daļām, vai, ja nepieciešams, visai pašvaldības teritorijai.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Detalizētā transporta attīstības plānā izvērtē transporta veidus un galvenos transporta infrastruktūras elementus, ņemot vērā objektus, kas būtiski ietekmē pašvaldības transporta infrastruktūru, un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tīkla un ar to saistīto ceļu pievienojumu plānošanā valsts autoceļiem pamatmateriāls ir VSIA “Latvijas Valsts ceļi” izveidotais ceļu pievienojumu reģistrs. Ņemot vērā minēto, lūdzam precizēt noteikumu 78.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Detalizētā transporta attīstības plānā izvērtē transporta veidus un galvenos transporta infrastruktūras elementus, ņemot vērā objektus, kas būtiski ietekmē pašvaldības transporta infrastruktūru, un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esošos un plānotos autoceļus un ielas (norādot to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krustojumus teritoriju apkalpojošos pievienojumus;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 pievienojumu vietas pie valsts autoceļu tīkla.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Satiksmes ministriju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Grozījumu anotācijas pašreizējās situācijas aprakstā, šie Grozījumi ietver prioritārā kārtībā veicamos MKN 240 grozījumus un precizējumus un projekts sagatavots pamatojoties uz ieinteresēto pušu (pašvaldību, institūciju, ekspertu) iesniegtajiem priekšlikumiem, kas izdiskutēts un atbalstīts arī teritorijas attīstības plānošanas sistēmas pilnveides darba grupas sanāksmēs. Vienlaikus VARAM ir aktualizējusi priekšlikumus turpmākajā darba procesā izstrādājamiem MKN 240 grozījumiem, tai skaitā transporta infrastruktūras plānošanai, kuru sagatavošanai nepieciešamas padziļinātākas diskusijas gan ar pašvaldībām, gan iesaistītajām institūcijām - Satiksmes ministriju un VSIA "Latijas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priekšlikums tiks izdiskutēts sagatavojot MKN 240 grozījumus transporta infrastruktūras plānošanas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Grozījumi MKN 240 78.1. apakšpunktā terminu “ceļš” aizstāj ar terminu “autoceļš” un vārdu “kategorija” ar vārdu “nozīmi”, atbilstoši MKN 240 86.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Detalizētā transporta attīstības plānā izvērtē transporta veidus un galvenos transporta infrastruktūras elementus, ņemot vērā objektus, kas būtiski ietekmē pašvaldības transporta infrastruktūru, un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Ielas pēc to funkcijām un nozīmes iedala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ielu kategorijām precizēt noteikumu 86.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Ielas ir tikai pilsētās un pēc to funkcijām un nozīmes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Galvenā iela – A vai P ceļiem savienojas ar dominējošu savienošanas funkciju un pakārtotu piekļūšanas funkciju. Šādu ielu izbūvē noteicošā ir savienošanas funkcijas īstenošana un atbilstošu kvalitātes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maģistrālā iela – nodrošina savienošanas un piekļūšanas funkciju. Šādu ielu izbūvē noteicošā ir savienošanas funkcijas kvalitātes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vietējās nozīmes iela – nodrošina piekļūšanu atsevišķiem zemesgabaliem, noteiktās diennakts stundās var veikt arī savienošanas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86.4. apkalpošanas iela – nodrošina uzturēšanās funkciju, pakārtoti veicot arī piekļūšanas funkciju. Šādu ielu izbūvē noteicošā ir uzturēšanās funkcijas kvalitātes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sanāksmē panākta vienošanās ar Satiksmes ministriju par to, ka Grozījumi precizē tikai MKN 240 86.1. apakšpunktu pārdēvējot </w:t>
            </w:r>
            <w:r w:rsidR="00000000" w:rsidRPr="00000000" w:rsidDel="00000000">
              <w:rPr>
                <w:i w:val="1"/>
                <w:rtl w:val="0"/>
              </w:rPr>
              <w:t xml:space="preserve">"tranzīta ielu"</w:t>
            </w:r>
            <w:r w:rsidR="00000000" w:rsidRPr="00000000" w:rsidDel="00000000">
              <w:rPr>
                <w:rtl w:val="0"/>
              </w:rPr>
              <w:t xml:space="preserve"> par </w:t>
            </w:r>
            <w:r w:rsidR="00000000" w:rsidRPr="00000000" w:rsidDel="00000000">
              <w:rPr>
                <w:i w:val="1"/>
                <w:rtl w:val="0"/>
              </w:rPr>
              <w:t xml:space="preserve">"galveno ielu"</w:t>
            </w:r>
            <w:r w:rsidR="00000000" w:rsidRPr="00000000" w:rsidDel="00000000">
              <w:rPr>
                <w:rtl w:val="0"/>
              </w:rPr>
              <w:t xml:space="preserve"> vienlaicīgi saglabājot iekavā esošo kategoriju norādi. tas nepieciešams regulējuma pēctecības saglabāšanai, jo spēkā esošajos teritorijas attīstības plānošanas dokumentos nereti norādītas tikai ielu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Ielas pēc to funkcijām un nozīmes iedala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Ielu sarkanās līnijas nosaka atbilstoši katras ielas kategorijai. Vienai ielai tās dažādos posmos var būt arī dažādas kategorijas ar atšķirīgu sarkano līniju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sarkanās līnijas tiek plānotas kā sakrītošas ar īpašuma robežu jeb ceļa zemes nodalījuma joslu, kā rezultātā ir apgrūtināta vai ir neiespējama ielu pārbūve, paplašināšana un/vai inženiertīklu izbūve. Ņemot vērā minēto, lūdzam precizēt noteikumu 89.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Ielu ekspluatācijas aizsargjoslas (sarkanās līnijas) nosaka atbilstoši katras ielas funkcijai un nozīmei ņemot vērā satiksmes infrastruktūrai un inženiertīklu izbūvei nepieciešamo teritoriju. Vienai ielai tās dažādos posmos var būt arī dažādas funkcijas un nozīme ar atšķirīgu ekspluatācijas aizsargjoslu (sarkano līniju)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Grozījumu anotācijas pašreizējās situācijas aprakstā, šie Grozījumi ietver prioritārā kārtībā veicamos MKN 240 grozījumus un precizējumus un projekts sagatavots pamatojoties uz ieinteresēto pušu (pašvaldību, institūciju, ekspertu) iesniegtajiem priekšlikumiem, kas izdiskutēts un atbalstīts arī teritorijas attīstības plānošanas sistēmas pilnveides darba grupas sanāksmēs. Vienlaikus VARAM ir aktualizējusi priekšlikumus turpmākajā darba procesā izstrādājamiem MKN 240 grozījumiem, tai skaitā par transporta infrastruktūras plānošanu, kuru sagatavošanai nepieciešamas padziļinātākas diskusijas gan ar pašvaldībām, gan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transporta infrastruktūras plānošanu, tai skaitā par sarkanajām līnijām, tiks skatīti sagatavojot nākamos MKN 240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Ielu sarkanās līnijas nosaka atbilstoši katras ielas kategorijai. Vienai ielai tās dažādos posmos var būt arī dažādas kategorijas ar atšķirīgu sarkano līniju platumu.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Veicot ielu rekonstrukciju esošās apbūves teritorijās un pilsētu vēsturiskajos centros, brauktuvju noapaļojumu rādiusu minimālos lielumus var samazināt atbilstoši esošajai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Pārejas noteikumu 7.punktam vārda "rekonstrukcija" vietā korektāk būtu lietot terminu "pārbūve".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Veicot ielu pārbūve esošās apbūves teritorijās un pilsētu vēsturiskajos centros, brauktuvju noapaļojumu rādiusu minimālos lielumus var samazināt atbilstoši esošajai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redakcionāli precizē MKN 240 97. punktu atbilstoši Būvniecības likuma Pārejas noteikumu 7.punktam attiecībā uz termina “rekonstrukcija”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Veicot ielu pārbūvi esošās apbūves teritorijās un pilsētu vēsturiskajos centros, brauktuvju noapaļojumu rādiusu minimālos lielumus var samazināt atbilstoši esošajai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gājēju ceļa platums – ne mazāks par 1,2 m, tā iesegums – no cieta un jebkuros laikapstākļos neslīdoša materiāla;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26.punktā ietverto 102.1. 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gājēju ceļa platums – ne mazāks par 2m, ja ir šķēršļi, tad 1,2 m, tā iesegums – no cieta un jebkuros laikapstākļos neslīdoša materiāla;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sanāksmēs panākta vienošanās ar Satiksmes ministriju par turpmāko rīcību attiecībā uz regulējuma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Turpmākajās diskusijās nepieciešams pamatot tieši 2 m, kā minimālo gājēju ceļa platuma rādītāja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MKN 240 102.1. apakšpunkta redakcijā noteic kritēriju ietves platumam, kas nevar būt šautāks kā 1,2 m, kas nozīmē, ka plānojot gājēju ceļu, to var veidot neierobežoti platu, ja tas iespējams un pamatoti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Brīvā zaļā teritorija ir zemes vienības neapbūvētā platība, un to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(Z – L1 – L2 – L3),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brīvā zaļā teritorija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 zemes vienības platība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L1 – visu ēku apbūves laukumu summa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L2 – piebraucamo ceļu aizņemtā platība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L3 – autostāvvietu aizņemtā platība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11.panta ceturtā daļa un Ministru kabineta 2017. gada 9. maija noteikumu Nr. 253 "Atsevišķu inženierbūvju būvnoteikumi" 6.3.4.apakšpunkts nosaka, ka atbilstoši būvniecības jomas regulējumam eksistē būvdarbu rezultātā radušies objekti, kas nav definējami kā būves (ne ēkas, ne inženierbūves), bet ir atsevišķu labiekārtojuma elementi, piemēram, celiņi, terases utt., kas, iespējams, būtu jāņem vērā nosakot </w:t>
            </w:r>
            <w:r w:rsidR="00000000" w:rsidRPr="00000000" w:rsidDel="00000000">
              <w:rPr>
                <w:i w:val="1"/>
                <w:rtl w:val="0"/>
              </w:rPr>
              <w:t xml:space="preserve">"brīvo zaļo teritoriju"</w:t>
            </w:r>
            <w:r w:rsidR="00000000" w:rsidRPr="00000000" w:rsidDel="00000000">
              <w:rPr>
                <w:rtl w:val="0"/>
              </w:rPr>
              <w:t xml:space="preserve"> arī tad, ja objekts nav ne ēka, ne inženierbūve.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sanāksmē panākta vienošanās ar Ekonomikas ministriju par MKN 240 117. punkta saglabāšanu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teritorijas attīstības plānošanas sistēmas pilnveides darba grupā viens no diskutējamiem jautājumiem būs brīvās zaļās teritorijas rādītāja aprēķināšanas formulas pārskatīšana atbilstoši Ekonomikas ministrijas priekšlikumā norādītajam, kā arī izvērtējot citu kritēriju iekļaušanu aprēķinā, tai skaitā, piemēram, "zaļie jumti",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Nosakot maksimālo apbūves augstumu lidlauka teritorijas tuvumā, ievēro normatīvo aktu prasības civilās aviācijas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40.punkts paredz svītrot Ministru kabineta 2013. gada 30. aprīļa noteikumu Nr. 240 "Vispārīgie teritorijas plānošanas, izmantošanas un apbūves noteikumi" (turpmāk – MK noteikumi) 121. punktu šī brīža redakcijā: “Nosakot maksimālo apbūves augstumu lidlauka teritorijas tuvumā, ievēro normatīvo aktu prasības civilās aviācijas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skaidrots, ka tas dublē likuma "Par aviāciju" 41. pantā noteiktos gadījumus, kad gaisa kuģu lidojumiem potenciāli bīstamu objektu būvniecībai jāsaņem Civilās aviācijas aģentūras atļauja, kā arī noteic potenciāli bīstamo objektu augstuma kritērijus. Satiksmes ministrijas ieskatā MK noteikumu 121.punkts nedublē likuma "Par aviāciju" 41. pantā noteikto, bet gan vērš uzmanību, ka šāds speciāls regulējums ir noteikts citā normatīvajā aktā, tādējādi novēršot iespējamības, ka šāds speciālais regulējums netiek ievērots. Ņemot vērā minēto, lūdzam saglabāt MK noteikumu 121.punktu tā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240 121. punkts tie saglabāts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Nosakot maksimālo apbūves augstumu lidlauka teritorijas tuvumā, ievēro normatīvo aktu prasības civilās aviācijas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Šo noteikumu 133. punktā minētajos gadījumos jāsaņem visu to zemes īpašnieku rakstveida saskaņojums, uz kuru īpašumiem vai virs kuru īpašumiem būvi iecerēts izvietot.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anotācijā nav paskaidrots, kādēļ būtu jāsvītro noteikumu Nr.240 133.</w:t>
            </w:r>
            <w:r w:rsidR="00000000" w:rsidRPr="00000000" w:rsidDel="00000000">
              <w:rPr>
                <w:vertAlign w:val="superscript"/>
                <w:rtl w:val="0"/>
              </w:rPr>
              <w:t xml:space="preserve">1</w:t>
            </w:r>
            <w:r w:rsidR="00000000" w:rsidRPr="00000000" w:rsidDel="00000000">
              <w:rPr>
                <w:rtl w:val="0"/>
              </w:rPr>
              <w:t xml:space="preserve"> punkts, kurš paredz, ka šo noteikumu 133. punktā minētajos gadījumos jāsaņem visu to zemes īpašnieku rakstveida saskaņojums, uz kuru īpašumiem vai virs kuru īpašumiem būvi iecerēts izvietot.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Nr.240 132.punkta mērķis ir noteikt minimālo būves attālumu no zemesgabala robežas, kuru var neievērot, ja ir saņemta blakus esošā zemesgabala īpašnieka piekrišana. Kā izriet no 13.10.2020. grozījumu anotācijas, ar noteikumu Nr.240 133.punktu tika noteikti gadījumi, uz kuriem nav attiecināma prasība par būves izvietošanu vienā zemes vienībā. Taču noteikumu Nr.240 mērķis nav pieļaut, ka noteikumu 133.punktā minētās būves tiek būvētas svešā zemesgabalā bez īpašnieku piekrišanas. To liedz Latvijas Republikas Satversmes 105.pants un Civillikuma 1036.pants. Tikai normatīvajos aktos noteiktajos gadījumos ir pieļaujama īpašuma tiesību aizskaršana.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tiesību norma tiek iekļauta ar konkrētu sasniedzamo mērķi. Ja to nevar sasniegt vai to sasniedz citādi, tiesību norma ir svītrojama. Tāpēc, ja likumdevēja ieskatā noteikumu Nr.240 133.1punkts nav vajadzīgs, jo zemesgabalu īpašnieku tiesības tiek aizsargātas ar citiem normatīvajiem aktiem, pamatojumam jābūt atspoguļotam noteikumu grozījumu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Grozījumu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Šo noteikumu 133. punktā minētajos gadījumos jāsaņem visu to zemes īpašnieku rakstveida saskaņojums, uz kuru īpašumiem vai virs kuru īpašumiem būvi iecerēts izvietot.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Pieļaujamos minimālos attālumus starp būvēm nosaka, ievērojot ugunsdrošības prasības,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Nr.240 136.punkts paredz, ka pieļaujamos minimālos attālumus starp būvēm nosaka, ievērojot ugunsdrošības prasības, kā arī: 136.1. ņemot vērā normatīvo aktu prasības insolācijas jomā; 136.2. nodrošinot netraucētas piekļūšanas iespējas operatīvo dienestu transpor­tam, tai skaitā ugunsdzēsības tehnikai; 136.3. ievērojot attālumu līdz autoceļiem un dzelzceļiem un citiem objektiem, ņemot vērā aizsargjoslas regulējošajos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grozījumu anotācijā nav iekļauts problēmas apraksts, praksē piemērojot šo tiesību normu. Līdz ar to LLPA nav skaidrs, kādēļ likumdevējs ir izlēmis šo tiesību normu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lpp. ir sniegts skaidrojums 136. punkta svītrošanai.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principiem, kas jāņem vērā normatīvo aktu izstrādē, ir izvairīties no deklaratīvām tiesību normām (Valsts kancelejas izstrādātā Normatīvo aktu projektu izstrādes rokasgrāmata; https://tai.mk.gov.lv/book/1/chapter/23). Demokrātiskā tiesiskā valstī personai ir konstitucionāls pienākums ievērot spēkā esošo normatīvos aktus, savukārt 136. punktā dotas vien atsauces uz citiem normatīvajiem aktiem, kas uzskaitīti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Pieļaujamos minimālos attālumus starp būvēm nosaka, ievērojot ugunsdrošības prasības, kā arī: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transporta plūsmas organizāciju, lai netiktu ietekmētas dzīvojamās un publiskās apbūves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33.punktā ietverto 144.2. 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netiktu ietekmētas dzīvojamās un publiskās apbūves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jūlija un 18. jūlija sanāksmē panākta vienošanās ar Satiksmes ministriju par MKN 240 144.2. apakšpunkta saglabāšanu spēkā esošajā redakcijā, jo MKN 240 144.2.apakšpunkta būtība ir radīt priekšnoteikumus dzīvojamās un publiskas apbūves teritoriju aizsardzībai tieši no pastiprinātas transporta plūsmas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transporta plūsmas organizāciju, lai netiktu ietekmētas dzīvojamās un publiskās apbūves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Teritorijās, kur atbilstoši normatīvajiem aktiem jāizstrādā (vai ir izstrādātas) trokšņa stratēģiskās kartes, neplāno jaunus izmantošanas veidus, kam būs jānosaka augstāki trokšņa robežlīmeņi, un paredz tādus izmantošanas veidus, kam nav noteikti trokšņa robežlielumi vai tie netiek pārsniegti.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147.</w:t>
            </w:r>
            <w:r w:rsidR="00000000" w:rsidRPr="00000000" w:rsidDel="00000000">
              <w:rPr>
                <w:vertAlign w:val="superscript"/>
                <w:rtl w:val="0"/>
              </w:rPr>
              <w:t xml:space="preserve">2</w:t>
            </w:r>
            <w:r w:rsidR="00000000" w:rsidRPr="00000000" w:rsidDel="00000000">
              <w:rPr>
                <w:rtl w:val="0"/>
              </w:rPr>
              <w:t xml:space="preserve"> punktu atbilstoši piedāvātajai redakcijai, jo teritorijās gar plānotajiem un esošajiem transporta infrastruktūras objektiem, kur saskaņā ar ietekmes uz vidi novērtējuma rezultātiem ir prognozēts palielināts vides troksnis, tādas apbūves, kurai noteikti trokšņa robežlielumi nav ilgtspējīgs risinājums. Izstrādājot teritorijas plānojumus pašvaldībām teritorijas attīstība jāplāno tā, lai tiek ņemti vērā arī ietekmes uz vidi novērtējuma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2 </w:t>
            </w:r>
            <w:r w:rsidR="00000000" w:rsidRPr="00000000" w:rsidDel="00000000">
              <w:rPr>
                <w:rtl w:val="0"/>
              </w:rPr>
              <w:t xml:space="preserve">Gar nacionālas un vietējas nozīmes transporta infrastruktūras attīstības objektiem, kuriem saskaņā ar ietekmes uz vidi novērtējuma rezultātiem prognozēts palielināts vides troksnis paredz tādus izmantošanas veidus, kam nav noteikti trokšņa robežlielumi un nav nepieciešami papildus pasākumi aizsardzībai pret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12.ūlijā un 18.jūlijā panākta vienošanās, ka spēkā esošais regulējums neaizliedz gar nacionālas un vietējas nozīmes transporta infrastruktūras attīstības objektiem (autoceļiem) teritorijas plānojumā paredzēt izmantošanas veidus, kam nav noteikti trokšņa robežlielumi un nav nepieciešami papildus pasākumi aizsardzībai pret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jautājums par atšķirīgiem trokšņu līmeņa mērīšanas metodikas veidiem un to rezultātu piemērošanu, risināms kopā ar Vides pārraudzības valsts biroju, kas pārrauga ietekmes uz vidi novērtēšanas procedūru un Klimata un enerģētikas ministriju kā attiecīgās nozares politikas veidotāju.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Teritorijās, kur atbilstoši normatīvajiem aktiem jāizstrādā (vai ir izstrādātas) trokšņa stratēģiskās kartes, neplāno jaunus izmantošanas veidus, kam būs jānosaka zemāki trokšņa robežlīmeņi, un paredz tādus izmantošanas veidus, kam nav noteikti trokšņa robežlielumi vai tie netiek pārsniegti.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Ūdensapgādes un kanalizācijas risinājumus jaunas apbūves teritorijās plāno, izvērtējot riskus videi un cilvēku veselībai un centralizēto kanalizācijas risinājumu tehniski ekonomisko pamatotību, atbilstoši paredzot centralizētas vai decentralizētas ūdensapgādes un kanalizācijas sistēmas.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35.punktā ietverto 148.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Ūdensapgādi un kanalizāciju jaunas apbūves teritorijās plāno, izvērtējot riskus videi un cilvēku veselībai un centralizētās kanalizācijas tehniski ekonomisko pamatotību, atbilstoši paredzot centralizētas vai decentralizētas ūdensapgādes un kanalizācijas sistēmas.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sanāksmē diskutēts par vārda "risinājumi" svītrošanu no MKN 240 148. punkta redakcijas. Lai salāgotu Klimata un enerģētikas ministrijas Ūdens resursu departamenta viedokli ar starpministriju sanāksmes dalībnieku viedokli, Grozījumi paredz svītrot no MKN 240 148.punkta vārdu "risinājumi" teikuma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Ūdensapgādi un kanalizāciju jaunas apbūves teritorijās plāno, izvērtējot riskus videi un cilvēku veselībai un centralizēto kanalizācijas risinājumu tehniski ekonomisko pamatotību, atbilstoši paredzot centralizētas vai decentralizētas ūdensapgādes un kanalizācijas sistēmas.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Pilsētās un ciemos, šo noteikumu 150. punktā minētajās apbūves teritorijās, kā pagaidu risinājumu līdz centralizētu ūdensapgādes un kanalizācijas tīklu izbūvei var ierīkot vietējo ūdensapgādi un decentralizētas kanalizācijas sistēmas, paredzot pieslēgšanas iespējas centralizētajiem tīkliem pēc to izbūves. Pēc centralizēto ūdensapgādes un kanalizācijas tīklu izbūves pieslēgums tiem ir obligāts.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Latvijas būvnormatīva LBN 223-15 "Kanalizācijas būves" 152.</w:t>
            </w:r>
            <w:r w:rsidR="00000000" w:rsidRPr="00000000" w:rsidDel="00000000">
              <w:rPr>
                <w:vertAlign w:val="superscript"/>
                <w:rtl w:val="0"/>
              </w:rPr>
              <w:t xml:space="preserve">1</w:t>
            </w:r>
            <w:r w:rsidR="00000000" w:rsidRPr="00000000" w:rsidDel="00000000">
              <w:rPr>
                <w:rtl w:val="0"/>
              </w:rPr>
              <w:t xml:space="preserve"> punkts nosaka arī sausās tualetes ierīkošanas iespēju, līdz ar to ir būtiski, vai projekta 151.minētais regulējums ir vai nav attiecināms uz sausajām tualetēm. Ja projekta 151. punkta regulējums ir attiecās arī uz sausajām tualetēm, tad aicinām izvērtēt vārda "sistēma" lietojumu, proti, vārdu "decentralizētas kanalizācijas </w:t>
            </w:r>
            <w:r w:rsidR="00000000" w:rsidRPr="00000000" w:rsidDel="00000000">
              <w:rPr>
                <w:u w:val="single"/>
                <w:rtl w:val="0"/>
              </w:rPr>
              <w:t xml:space="preserve">sistēmas</w:t>
            </w:r>
            <w:r w:rsidR="00000000" w:rsidRPr="00000000" w:rsidDel="00000000">
              <w:rPr>
                <w:rtl w:val="0"/>
              </w:rPr>
              <w:t xml:space="preserve">" vietā lietot vārdus "decentralizētā kanalizācija".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Pilsētās un ciemos, šo noteikumu 150. punktā minētajās apbūves teritorijās, kā pagaidu risinājumu līdz centralizētu ūdensapgādes un kanalizācijas tīklu izbūvei var ierīkot vietējo ūdensapgādi un decentralizētā kanalizācija, paredzot pieslēgšanas iespējas centralizētajiem tīkliem pēc to izbūves. Pēc centralizēto ūdensapgādes un kanalizācijas tīklu izbūves pieslēgums tiem ir obligāts.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panākta vienošanās ar Ekonomikas ministriju, ka Grozījumi paredz svītrot MKN 240 151. pnkta pēdējo teikumu (skat izziņas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240 151.punkta regulējuma būtība ir veicināt pieslēgumu centralizētajai kanalizācijas sistēmai pilsētās un ciemos, bet kā alternatīvu līdz pieslēgumam  lietot kanalizācijas sistēmas, kas neietver sausās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aktos jālieto vienota terminoloģija un Ministru kabineta 2017. gada 27. jūnija noteikumi Nr. 384 "Noteikumi par decentralizēto kanalizācijas sistēmu apsaimniekošanu un reģistrēšanu" ir jaunāks un specializēts tiesību akts, kurā arī lietots termins "sistēma" saistība ar decentralizētajām kanalizācijas sistēmām, vārds “sistēmas” regulējumā ir jāsaglabā.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Pilsētās un ciemos, šo noteikumu 150. punktā minētajās apbūves teritorijās, kā pagaidu risinājumu līdz centralizētu ūdensapgādes un kanalizācijas tīklu izbūvei var ierīkot vietējo ūdensapgādi un decentralizētas kanalizācijas sistēmas, paredzot pieslēgšanas iespējas centralizētajiem tīkliem pēc to izbūves.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Lokālplānojumā un detālplānojumā norāda ūdens ņemšanas vietas ugunsdzēsības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tiesību normas secināms, ka ūdens ņemšanas vietas ugunsdzēsības vajadzībām būtu jānorāda arī detālplānojumā, pat ja tās ir norādītas lokālplānojumā. Ja tāds nav normas mērķis, iesākām aizvietot saikli “un” ar saikli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240 153. punkta redakcija precizēta aizstājot saikli “un” ar komatu. Atbilstoši precizēta arī Grozījumu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Lokālplānojumā, detālplānojumā norāda ūdens ņemšanas vietas ugunsdzēsības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Plānojot vēja elektrostaciju un vēja parku izvietojumu,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vēja elektrostaciju rotora lāpstiņu apledojuma un ledus gabalu krišanas, kā arī vēja elektrostaciju un to daļu lūšanas un gāšanās riskus, vēja elektrostacijas ir jāattālina pietiekošā attālumā no valsts autoceļiem. Ņemot vērā minēto, lūdzam precizēt noteikumu 163.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Plānojot vēja elektrostaciju un vēja parku izvietojumu,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vēja elektrostaciju attālumu līdz valsts autoceļu asīm neparedzēt tuvāk par 1,5 kārtīgu maksimālo vēja elektrostacijas augstumu; 163.2. vēja elektrostacijām, kuru jauda ir no 20 kW līdz 2 MW, attālums no tuvākās plānotās vēja elektrostacijas un vēja parka robežas līdz dzīvojamām un publiskām ēkām ir vismaz 500m;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sanāksmē panākta vienošanās ar Satiksmes ministriju un Ekonomikas ministriju, ka priekšlikuma būtība ir attiecināma uz Ministru kabineta 2014. gada 30. septembra noteikumiem Nr. 574 "Noteikumi par Latvijas būvnormatīvu LBN 008-14 "Inženiertīklu izvietojums"", nevis MKN 240 regulējumu. Attiecīgi attālums no vēja elektrostacijas līdz valsts autoceļu ass līnijai jānosaka minētajā būvnormatīvā.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secinām, ka priekšlikums nav pietiekami pamatots un satur normu, kas bija ietverta Aizsargjoslu likumā kā vēja elektrostacijas (turpmāk – VES) ekspluatācijas un drošības aizsargjosla. Ekonomikas ministrijas pamatojumā minētā aizsargjoslas izslēgšanai no Aizsargjoslu likuma minēts, ka VES aizsargjoslas mērķis bija pasargāt cilvēkus no VES kaitīgās ietekmes, negadījumiem, kas saistīti ar apledojuma krišanu, un avāriju riskiem, kā arī pasargāt VES no sadursmēm ar lidojošiem objektiem un citu būvju negatīvās ietekmes. Taču, kā to atzīst arī Satversmes tiesa, tehnisko risinājumu attīstība laika gaitā ir samazinājusi ar VES darbību saistītos riskus. Ekonomikas ministrijas ieskatā šobrīd vairs nepastāv reāli drošības riski, kas attaisnotu VES aizsargjoslu noteikšanu. Tādēļ VES aizsargjoslās noteiktie ierobežojumi šobrīd vairs nav nepieciešami VES ekspluatācijas un 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Plānojot vēja elektrostaciju un vēja parku izvietojumu,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Ja pie publiskās ēkas paredzēts veidot vairāk nekā 10 autostāvvietu, paredz vismaz vienu speciālo, 3,5 m platu autostāvvietu no katrām 20 autostāvvietām. Ja pie publiskās ēkas paredzēts mazāk par 10 autostāvvietām, paredz vismaz vienu speciālo, 3,5 m platu autostāvvietu.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minētās tiesību normas redakcija būtu uzlabojama, pielāgojot citām noteikumu Nr.240 10.1.apakšnodaļas “Autonovietnes” tiesību normām, piemēram, 203.punktu. Iesakām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Ja pie publiskās ēkas paredzēts veidot vairāk nekā 10 autostāvvietu, paredz vismaz vienu speciālu ne mazāk kā 3,5 m platu autostāvvietu no katrām 20 autostāvvietām. Ja pie publiskās ēkas paredzēts mazāk par 10 autostāvvietām, paredz vismaz vienu speciālu ne mazāk kā 3,5 m platu autostāvvietu."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precizēta MKN 240 204. un 205.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Ja pie publiskās ēkas paredzēts veidot vairāk nekā 10 autostāvvietu, paredz vismaz vienu speciālu, ne mazāk kā 3,5 m platu autostāvvietu no katrām 20 autostāvvietām. Ja pie publiskās ēkas paredzēts mazāk par 10 autostāvvietām, paredz vismaz vienu speciālu, ne mazāk kā 3,5 m platu autostāvvietu.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237.</w:t>
            </w:r>
            <w:r w:rsidR="00000000" w:rsidRPr="00000000" w:rsidDel="00000000">
              <w:rPr>
                <w:vertAlign w:val="superscript"/>
                <w:rtl w:val="0"/>
              </w:rPr>
              <w:t xml:space="preserve">1</w:t>
            </w:r>
            <w:r w:rsidR="00000000" w:rsidRPr="00000000" w:rsidDel="00000000">
              <w:rPr>
                <w:rtl w:val="0"/>
              </w:rPr>
              <w:t xml:space="preserve"> punktu attiecībā uz nacionālas nozīmes transporta infrastruktūras izbūvei un rekonstrukcijai nepieciešamo teritoriju (TIN7). Satiksmes ministrija piedāvā izvērtēšanai 2 iespējamās normas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237.</w:t>
            </w:r>
            <w:r w:rsidR="00000000" w:rsidRPr="00000000" w:rsidDel="00000000">
              <w:rPr>
                <w:vertAlign w:val="superscript"/>
                <w:rtl w:val="0"/>
              </w:rPr>
              <w:t xml:space="preserve">1</w:t>
            </w:r>
            <w:r w:rsidR="00000000" w:rsidRPr="00000000" w:rsidDel="00000000">
              <w:rPr>
                <w:rtl w:val="0"/>
              </w:rPr>
              <w:t xml:space="preserve"> Institūcijai, kas ir ierosinājusi noteikt nacionālas nozīmes  transporta infrastruktūras izbūvei un rekonstrukcijai nepieciešamo teritoriju (TIN7), ir atļauts pēc nacionālās nozīmes transporta infrastruktūras objekta īstenošanas pabeigšanas un līdz tā darbības uzsākšanai, noteikt un aktualizēt Teritorijas attīstības plānošanas informācijas sistēmā tīmekļa vietnē www.tapis.gov.lv. attiecīgās lineārās infrastruktūras funkcionālo zonējumu bez grozījumu procedūras veikšanas teritorijas plānojumos un lokālplānojumos. Funkcionālais zonējums tiek noteikts atbilstoši veiktai izpētei visā nacionālas nozīmes objekta apjomā, to attēlojot TAPIS un izdodot  vienotus teritorijas izmantošanas un apbūves noteikumus.  2) 237.</w:t>
            </w:r>
            <w:r w:rsidR="00000000" w:rsidRPr="00000000" w:rsidDel="00000000">
              <w:rPr>
                <w:vertAlign w:val="superscript"/>
                <w:rtl w:val="0"/>
              </w:rPr>
              <w:t xml:space="preserve">1</w:t>
            </w:r>
            <w:r w:rsidR="00000000" w:rsidRPr="00000000" w:rsidDel="00000000">
              <w:rPr>
                <w:rtl w:val="0"/>
              </w:rPr>
              <w:t xml:space="preserve"> Teritorijas plānojumā attēlotās teritorijas ar īpašiem noteikumiem, kas ieplānotas nacionālas un vietējas nozīmes infrastruktūras izbūvei un pārbūvei, var tikt precizētas bez grozījumu procedūras veikšanas teritorijas plānojumos un lokālplānojumos, gadījumos ja nacionālas un vietējas nozīmes infrastruktūras teritorijas tiek aktualizētas Teritorijas attīstības plānošanas informācijas sistēmā tīmekļa vietnē www.tapis.gov.lv. Precizētajām nacionālas un vietējas nozīmes infrastruktūras teritorijām piemēro tādus izmantošanas un apbūves noteikumus, kuri  noteikti attiecīgajai funkcionālajai zonai, kas attēlota zem vairs neaktuālās nacionālas un vietējas nozīmes infrastruktūras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jūlija un 18. jūlija sanāksmēs panākta vienošanās ar Satiksmes ministriju par to, ka jautājums par nacionālas nozīmes transporta infrastruktūras izbūvei un rekonstrukcijai nepieciešamo teritoriju ar īpašiem noteikumiem (TIN7) elastīgāka noteikšana un nepieciešamās teritorijas platības aktualizēšana piemērojot elastīgāku un atvieglotu procedūru ir teritorijas attīstības plānošanas sistēmas pilnveides jautājums, kas risināms kompleksi ar visa normatīvā regulējuma atvieglošanu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institūcija, kura ierosinājusi teritorijas plānojumā vai lokālplānojumā noteikt TIN7 teritoriju, nav tiesīga pēc tam Teritorijas attīstības plānošanas informācijas sistēmā (TAPIS) noteikt vai mainīt šai teritorijai funkcionālo zonējumu un teritorijas izmantošanas un apbūves  nosacījumus, ja vien tas nav nacionālo interešu objekts, kura izmantošanas nosacījumi noteikti Ministru kabineta noteikumos. Teritorijas plānojums, tai skaitā grafiskā daļa un teritorijas izmantošanas un apbūves noteikumi tiek apstiprināti ar pašvaldības saistošajiem noteikumiem un grozījumus saistošajā daļā var veikt tikai izstrādājot teritorijas plānojuma grozījumus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Ja nepieciešams, teritorijas plānojumos un lokālplānojumos nosaka un attēlo šādas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234. punkta redakcija nenosaka, kādos gadījumos ir jāizstrādā lokālplānojumi un detālplānojumi, un uz kurām teritorijām šī prasība attiecas. Ņemot vērā minēto, katra pašvaldība pieņem/nosaka kritērijus, pēc kādiem tiek noteiktas teritorijas, kurām jāizstrādā lokālplānojumi un detālplānojumi. Lūdzam konkretizēt kritērijus, pie kuriem ir jāizstrādā lokālplānojumi un detālplānojumi, kā arī izvērtēt iespējamību detalizēt, kādos gadījumos izstrādājami lokālplānojumi vai detālplānojumi, piemēram, lokālplānojumi izstrādājami funkcionālā zonējuma mainīšanai, vienota ceļu tīkla un pievienojumu plānošanai u.tml., savukārt detālplānojumi izstrādājami vienota ceļu tīkla un pievienojumu plānošanai, trokšņa samazināšanas pasākumu plānošanai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jūlija un 18. jūlija sanāksmēs panākta vienošanās ar Satiksmes ministriju, ka MKN 240 regulējums attiecībā uz lokālplānojumu un detālplānojumu izstrādes nepieciešamības kritērijiem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240 234. punkts noteic teritoriju ar īpašiem noteikumiem veidus, kurus pēc nepieciešamības nosaka teritorijas plānojumā vai lokālplānojumā. Teritorijas plānojumu, lokālplānojumu un detālplānojumu izstrādi noteic Teritorijas attīstības plānošanas likums un Ministru kabineta 2014. gada 14. oktobra noteikumu Nr. 628 “Noteikumi par pašvaldību teritorijas attīstības plānošanas dokumentiem” 26., 33.,  38., 39. un 41. punkts., tāpēc papildus regulējums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Ja nepieciešams, teritorijas plānojumos un lokālplānojumos nosaka un attēlo šādas teritorijas ar īpašiem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sanāksmēs un izziņas 21. punktā norādīto, ka jautājumi par transporta infrastruktūras plānošanu tiks diskutēti turpmākā darba procesā, iesaistot arī Satiksmes ministriju, Satiksmes ministrija lūdz no anotācijas izņemt skaidrojumu attiecībā uz terminu “būvprojekta īstenošanas uzsākšana” un to vēlreiz sadarbībā ar Ekonomikas ministrijas un VARAM ekspertiem detalizēti izvērtēt sasaitē ar būvniecības normatīvajiem aktiem, Zemes pārvaldības likumu un nacionālas nozīmes projektu īstenošanas procesu turpmāk plānotajās darba grupās.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precizēta atbilstoši Satiksmes ministrijas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minēto jautājumu atkārtoti aktualizēs un iekļaus darba kārtībā turpmākajās Teritorijas attīstības plānošanas sistēmas pilnveides darba grupas sanāksmēs pieaicinot arī Satiksmes ministrijas un Ekonomikas ministrijas pārstāvjus.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Šajos noteikumos lietotais vides piekļūstamības termins atbilst būvniecības jomas normatīvajā regulējumā lietotajam vides pieejamības terminam.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Normatīvo aktu projektu izstrādes rokasgrāmatā, Noteikumu noslēguma jautājumos parasti raksta secīgi: 1) norādi, kuri Ministru kabineta noteikumi tiek atzīti par spēku zaudējušiem; 2) atsevišķu punktu spēkā stāšanās laiku, ja tas atšķiras no visu noteikumu spēkā stāšanās laika; 3) noteikumu vai to atsevišķu punktu piemērošanas kārtību; 4) norādi uz institūciju, kas līdz noteikumu izpildei paredzētās institūcijas izveidošanai nodrošinās noteikumos noteikto funkciju izpildi; 5) noteikumu spēkā stāšanās dienu, ja tā atšķiras no vispārējās kārtības; 6) laiku,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LLPA domām, noteikumu 246.punkts neatbilst nevienam no iepriekš minētajiem punktiem, t.sk. tas neregulē noteikumu vai to atsevišķu punktu piemērošanas kārtību. LLPA ieskatā šo situāciju var paskaidrot noteikumu grozījumu anotācijā problēmas aprakstā, kas skar noteikumu Nr.240 2.26.apakšpunkta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jāizvairās no nevajadzīgu tiesību normu iekļaušanu Noslēguma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Grozījumu projektā ietverto MKN 240 246. punkta redakciju panākta 2024. gada 18. jūlija starpministriju sanāksmē vienojoties ar Ekonomikas ministriju un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Šajos noteikumos lietotais vides piekļūstamības termins atbilst būvniecības jomas normatīvajā regulējumā lietotajam vides pieejamības terminam.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Pēc grozījumu šo noteikumu 186.punktā spēkā stāšanās, minētā punkta prasības piemērojamas jaunu dabas taku izveidē un veicot esošo dabas taku pārbūvi.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minēto prasību var iekļaut noteikumu Nr.240 186.punktā,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Veidojot jaunas dabas takas vai pārbūvējot esošās dabas takas, vietās, kur dabas takai ir bīstams slīpums, krauja vai nogāze vai tā tieši ved uz ūdensobjektu vai stāvu krauju, paredz drošas margas vai aizsargbarjeras ne mazāk kā 0,90 m augstumā.”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likumam tiesību normai ir tūlītējs spēks. Tādējādi noteikumu Nr.240 186.punktam jaunajā redakcijā būs tūlītējs spēks, un tas attieksies tikai uz tiem gadījumiem, kad tiks būvēta jauna dabas taka vai arī pārbūvēta esošā dabas taka. No minētās tiesību normas nevar secināt, ka, pamatojoties uz to, visas esošās dabas takas būtu obligāti jāpārbūvē, lai ievērotu likumdevēja prasību par drošām margām vai aizsargbarjerām.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jāizvairās no nevajadzīgu tiesību normu iekļaušanu Noslēguma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precizēts svītrojot 247. punktu un iekļaujot 186. punktā atsauci, ka regulējums attiecināms uz dabas takām, kas tiek ierīkotas no jauna vai tiek pārbūvētas esošas. Precizēta arī Grozījumu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attēlošana teritorijas plānojumos, lokālplānojumos un detālplānojumos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Svītrot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Papildināt ar 1.1 pielikumu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Svītrot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Papildināt ar 4. pielikumu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pausto, izvērtēt nepieciešamību svītrot esošos pielikumus un radīt jaunus pielikumus svītroto pielikumu redakcijā (ar nelieliem grozījumiem).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tiesību akti tiek izstrādāti strukturētu datu veidā, bet Grozījumu projekts paredz aizstāt spēkā esošos nestrukturētu datu veidā pievienotos pielikumus ar redakcionāli precizētiem, nestrukturētu datu veidā sagatavotiem 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attēlošana teritorijas plānojumos, lokālplānojumos un detālplānojumos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24-TA-536</w:t>
    </w:r>
    <w:r>
      <w:br/>
    </w:r>
    <w:r w:rsidR="00000000" w:rsidRPr="00000000" w:rsidDel="00000000">
      <w:rPr>
        <w:rtl w:val="0"/>
      </w:rPr>
      <w:t xml:space="preserve">21.10.2024. 17.04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24-TA-536</w:t>
    </w:r>
    <w:r>
      <w:br/>
    </w:r>
    <w:r w:rsidR="00000000" w:rsidRPr="00000000" w:rsidDel="00000000">
      <w:rPr>
        <w:rtl w:val="0"/>
      </w:rPr>
      <w:t xml:space="preserve">21.10.2024. 17.04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Izziņa_24-TA-536.docx</dc:title>
</cp:coreProperties>
</file>

<file path=docProps/custom.xml><?xml version="1.0" encoding="utf-8"?>
<Properties xmlns="http://schemas.openxmlformats.org/officeDocument/2006/custom-properties" xmlns:vt="http://schemas.openxmlformats.org/officeDocument/2006/docPropsVTypes"/>
</file>