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24-TA-2895: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4. oktobra noteikumos Nr. 619 "Eiropas Savienības Atveseļošanas un noturības mehānisma plāna 3.1.1.5.i investīcijas "Izglītības iestāžu infrastruktūras pilnveide un aprīkošana"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(21.03.2024.)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ar 11.</w:t>
            </w:r>
            <w:r w:rsidR="00000000" w:rsidRPr="00000000" w:rsidDel="00000000">
              <w:rPr>
                <w:vertAlign w:val="superscript"/>
                <w:rtl w:val="0"/>
              </w:rPr>
              <w:t xml:space="preserve">2</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(Dienvidkurzemes novada Izglītības pārvalde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Dienvidkurzemes novada Izglītības un sporta komiteja, turpmāk - DKN,  ir izskatījusi tiesību aktu portālā publicēto tiesību aktu projekta ID 24-TA-2895, tiesību aktu -  Grozījumi Ministru kabineta 2022. gada 4. oktobra noteikumos Nr. 619 "Eiropas Savienības Atveseļošanas un noturības mehānisma plāna 3.1.1.5.i investīcijas "Izglītības iestāžu infrastruktūras pilnveide un aprīkošana" īstenošanas noteikumi", turpmāk -  MK 619, un neatbalstām to izsludinātājā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Dienvidkurzemes novada pašvaldība respektējot IZM rekomendācijas ir pieņēmusi lēmumu par Priekules vidusskolas reorganizāciju par pamatskolu no 2026.gada 1.septembra. Jau šajā mācību gadā netika atvērta Priekules vidusskolā 10.klase. Vienlaikus sarunās IZM pārstāvji nenoraidīja arī turpmāk pastāvēt Nīcas vidusskolai.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Izdodot Ministru kabineta rīkojumu Nr. 598, tam pievienotajā anotācijā norādīts – ir atsauces, ka atbilstoša nav arī Vaiņodes vidusskolas tālākā pastāvēšana, bet šobrīd secināms, ka viedoklis ir grozīts. Šī brīža situācija parāda, ka IZM ir mainījis viedokli attiecībā uz virkni Latvijas vidusskolu, tai skaitā, Vaiņodes vidusskola.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Vaiņodes vidusskolā skolēnu skaits ir 39, savukārt Nīcas vidusskolā skolēnu skaits ir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Nīcas vidusskola atrodas teritorijā, kura apkalpo skolēnus sākot no Lietuvas robežas līdz Liepājai, kas sastāda 60km.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Vairākkārtīgās sarunās starp IZM un LPS, IZM pārstāvji informēja, ka būs arī teritorijās, kurās nevar definēt precīzi kritērijus – īpašie līgumi, bet nevarēja piedāvāt līguma projektus apspriešanai, kā arī normatīvie akti neparedz šādus līgumus.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normatīvie akti precīzi nav noteikuši, lūdzu, iekļaut noteikumu projektā Nīcas vidusskolu.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619 projekta  punktu 11.</w:t>
            </w:r>
            <w:r w:rsidR="00000000" w:rsidRPr="00000000" w:rsidDel="00000000">
              <w:rPr>
                <w:vertAlign w:val="superscript"/>
                <w:rtl w:val="0"/>
              </w:rPr>
              <w:t xml:space="preserve">2</w:t>
            </w:r>
            <w:r w:rsidR="00000000" w:rsidRPr="00000000" w:rsidDel="00000000">
              <w:rPr>
                <w:rtl w:val="0"/>
              </w:rPr>
              <w:t xml:space="preserve">1. papildināt aiz vārdiem Kaunatas vidusskola ar vārdiem Nīcas vidusskola,.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vairākkārtēji sarunās ar  pašvaldībām ir norādījusi, ka izglītības pieejamības noteikšanā tiek ņemta vērā OECD definīcija, kas cita starpā ietver laiku, kas tiek pavadīts ceļā līdz tuvākajai izglītības iestādei, kas piedāvā to pašu izglītības pakāpi (nākamā skola ir sasniedzama vien vairāk nekā 30 min. laikā). Tādējādi Dienvidkurzemes novada pašvaldības gadījumā kā izņēmums vispārējās vidējās izglītības programmu piedāvājuma pieejamībā ir noteikta Vaiņodes vidusskola, kas tad arī ir ietverta noteikumu projekta 11.</w:t>
            </w:r>
            <w:r w:rsidR="00000000" w:rsidRPr="00000000" w:rsidDel="00000000">
              <w:rPr>
                <w:vertAlign w:val="superscript"/>
                <w:rtl w:val="0"/>
              </w:rPr>
              <w:t xml:space="preserve">2</w:t>
            </w:r>
            <w:r w:rsidR="00000000" w:rsidRPr="00000000" w:rsidDel="00000000">
              <w:rPr>
                <w:rtl w:val="0"/>
              </w:rPr>
              <w:t xml:space="preserve">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papildus izņēmumu noteikšana rada pretrunas ar investīcijas mērķi, kas paredz visaptveroša novada pašvaldību izglītības iestāžu tīkla sakārtošanu.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ar 11.</w:t>
            </w:r>
            <w:r w:rsidR="00000000" w:rsidRPr="00000000" w:rsidDel="00000000">
              <w:rPr>
                <w:vertAlign w:val="superscript"/>
                <w:rtl w:val="0"/>
              </w:rPr>
              <w:t xml:space="preserve">2</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(Dienvidkurzemes novada Izglītības pārvalde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savā izziņā 24-TA-2895 Noteikumu projektā Grozījumi  Ministru kabineta 2022. gada 4. oktobra noteikumos Nr. 619 "Eiropas Savienības Atveseļošanas un noturības mehānisma plāna 3.1.1.5.i investīcijas "Izglītības iestāžu infrastruktūras pilnveide un aprīkošana" īstenošanas noteikumi" ir norādījusi, ka nesaskaņo Dienvidkurzemes novada Izglītības pārvaldes sniegto priekšlikumu un savu pozīciju argumentējusi pirmkārt, Izglītības un zinātnes ministrija  izglītības pieejamības noteikšanā ir ņemta vērā OECD definīcija, kas cita starpā ietver laiku, kas tiek pavadīts ceļā līdz tuvākajai izglītības iestādei, kas piedāvā to pašu izglītības pakāpi (nākamā skola ir sasniedzama vien vairāk nekā 30 min. laikā). Nevienā no sarunām ar Dienvidkurzemes novada pašvaldību,  IZM nav sniegusi OECD dokumentu kopumu, kurš starp citu nav publicēts. Vienlaikus atgādinām, ka joprojām neesam saņēmuši prezentāciju – par algoritmu kā tiek aprēķināts attālums līdz tuvākai izglītības iestādei.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Otrkārt, pretrunas rada investīciju mērķi, norādām, ka Ministru kabineta noteikumos  Nr. 619 “Eiropas Savienības Atveseļošanas un noturības mehānisma plāna 3.1.1.5.i investīcijas "Izglītības iestāžu infrastruktūras pilnveide un aprīkošana" īstenošanas noteikumi" ir izstrādāti balstoties uz Eiropas Parlamenta un Padomes Regulas (ES) 2021/241 (2021. gada 12. februāris), kas saistījās ar COVID-19 seku pārvarēšanu. Eiropas Parlaments pieņemot Padomes Regulu (ES) 2021/241 (2021. gada 12. februāris), preambulas 16.punktā ir norādījusi: “Reformas un investīcijas nākamajā paaudzē, kas vērstas uz bērniem un jauniešiem, ir ļoti svarīgas, lai veicinātu izglītību un prasmes, tostarp digitālās prasmes, aktīvā darbaspēka prasmju pilnveidošanu, jaunu prasmju apgūšanu un pārkvalifikāciju, integrācijas programmas bezdarbniekiem, investīciju politiku, kas bērniem un jauniešiem nodrošina pieejamību un iespējas izglītības, veselības, uztura, nodarbinātības un mājokļu jomā, kā arī politiku, kas ar garantiju bērniem un garantiju jauniešiem palīdzēs novērst plaisu starp paaudzēm. Ar minētajām darbībām būtu jānodrošina, ka Covid-19 krīze neatstāj paliekošu ietekmi uz nākamo eiropiešu paaudzi un ka plaisa starp paaudzēm nekļūst vēl dziļāka.”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regulas mērķis nav slēgt Latvijas vidusskolas. Sākotnēji IZM sarunās bija pieprasījums slēgt lauku vidusskolas zemo mācību rezultātu dēļ. Iepazīstoties ar datiem par Nīcas vidusskolu, OCE indekss ir augsts. Drīzāk otrādi, pat daudzu pilsētas vidusskolu rezultāti ir zemāki. Diemžēl, no 2022.gada nav iespējams salīdzināt vidusskolu rezultātus, jo OCE indeksu nav iespējams aprēķināt.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Bijušo Nīcas novadu ir braukuši aplūkot un apjūsmot daudzi Latvijas valsts prezidenti. Viens no būtiskākajiem aspektiem, ko ir atzīmējuši prezidenti, ir Nīcas kultūrtelpa, kura atrodas  Nacionālā nemateriālā kultūras mantojuma saraksta vērtībā kopš 2022. gada. Līgums par Eiropas Savienības dibināšanu ir norādījis, ka ES nodrošina kultūras saglabāšanu. Šo kultūras telpu izdodas uzturēt, lielā mērā pateicoties, ka tajā aktīvi iesaistās Nīcas vidusskola, visvairāk vidusskolas posma audzēkņi.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Dienvidkurzemes novads ir teritoriāli lielākais novads. Nevar skatīties attālumu starp Dienvidkurzemes novada vidusskolām, Nīcas vidusskola nodrošina vidējās izglītības pieejamību Rucavas un Dunikas bērniem. No tālākajām apdzīvotajām vietām ir vairāk kā 50 km, un ņemto vērā ceļa tīkla kvalitāti, nepieciešamais laiks pārsniedz 1h.</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kabinetu noteikumu Nr.606 “Ministru kabineta kārtības rullis” 63.punkts nosaka, ka gadījumos, ja iebildums kas nav ņemts vērā, atbildīgā ministrija novirza projektu atkārtotai saskaņošanai vai sasauc kopīgu starpinstitūciju sanāksmi  informāciju par to norādot TAP portālā vai nosūtot uz atzinuma sniedzēja norādīto e-pasta adresi, ja atzinuma sniedzējs atzinumu sniedzis ārpus TAP portāla atbilstoši šo noteikumu 6 3. punktam. Izglītības un zinātnes ministrija nav aicinājusi uz starpinstitūciju sanāksmi, kaut arī bija norādīti visi kontakti.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nekādā veidā nepieļauj diskrimināciju un nedod pamatu nesniegt un nepiešķirt līdzekļus reorganizētai Priekules vidusskolai un sodīt tos bērnus, ka pašvaldība kompleksi skatās uz teritorijas attīstību, kā arī ir argumenti Nīcas vidusskolas saglabāšanai, bet tos  neparedz neviens no Eiropas tiesību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mērķis nav sakārtot Latvijas izglītības skolu tīklu, bet slēgt skolas lauku apvidos, tādejādi tās parāda  ATR negatīvās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Lēmumu par ārpus pašvaldības administratīvā centra esošas vispārējās vidējās izglītības iestādes reorganizāciju pašvaldība var nepieņemt, ja saskaņā ar Valsts izglītības informācijas sistēmas datiem uz 2024. gada 1. septembri vispārējās vidējās izglītības iestādē 10.–12. klašu grupā ir vismaz 60 izglītojamie. Aizputes vidusskolas, Auces vidusskolas, Dagdas vidusskolas, Dundagas vidusskolas, Engures vidusskolas, Jaunpiebalgas vidusskolas, Kārsavas vidusskolas, Kaunatas vidusskolas, Nīcas vidusskola,  Rojas vidusskolas, Rūjienas vidusskolas, Salacgrīvas vidusskolas, Skaistkalnes vidusskolas, Vaiņodes vidusskolas vai Viesītes vidusskolas gadījumā saskaņā ar Valsts izglītības informācijas sistēmas datiem uz 2024. gada 1. septembri vispārējās vidējās izglītības iestādē 10.–12. klašu grupā ir vismaz 30 izglītojamie;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2. otrās projektu iesniedzēju priekšatlases kārtas ietvaros plānotais Atveseļošanas fonda finansējums ir 4 403 243 </w:t>
            </w:r>
            <w:r w:rsidR="00000000" w:rsidRPr="00000000" w:rsidDel="00000000">
              <w:rPr>
                <w:i w:val="1"/>
                <w:rtl w:val="0"/>
              </w:rPr>
              <w:t xml:space="preserve">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skaidrot pamatojumu Atveseļošanas fonda finansējuma samazināšanai otrās projektu iesniedzēju (pašvaldību) priekšatlases kārtas ietvaros, tostarp lūdzam skaidrot, vai ar šobrīd paredzēto finansējumu ir pietiekami attiecīgās priekšatlases kārtas ietvaros pieteikto projektu īstenošanai. Līdzīgi lūdzam skaidrot pamatojumu noteikumu projekta 13. punktā paredzētajam ierobežojumam attiecībā uz izmaksām sporta zāles pārbūvei un atjaunošanai, kas iepriekš (proti, iepriekšējās priekšatlases kārtās) nebija noteikts. Tostarp lūdzam skaidrot, vai attiecīgās pašvaldības ir tikušas iepazīstinātas ar minētajām izmaiņām un ir tām piekritušas.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par Atveseļošanas fonda finansējuma sadalījumu starp projektu iesniedzēju priekšatlašu kārtām.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tiek saglabāts procentuālais ierobežojums sporta infrastruktūrai, ievērojot ka citāds – jau sākotnēji MK noteikumu Nr. 619 22.2.1. apakšpunktā noteiktais, ierobežojums ir svītrots (ja projektā paredzēta mācību vides uzlabošana visās projektā atbalstāmās vispārējās izglītības iestādes klašu telpās, tad var tikt paredzētas arī [..] sporta zāles [..] pārbūves un atjaunošanas izmaksas). Tādējādi netiek skarta finansējuma saņēmēju – pašvaldību tiesiskā paļāvība, un tiek saglabāts juridiskais ietvars investīcijas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pastāvīgi sazinās ar 3.1.1.5. investīcijas finansējuma saņēmēju – pašvaldību pārstāvjiem par 3.1.1.5. investīcijas projektu īstenošanu, kur cita starpā tiek diskutēts par 3.1.1.5. investīcijas ieviešanas nosacījumiem, un to iespējamajām izmaiņām, nodrošinot pilnvērtīgu investīcijas mērķa sasniegšanu. Arī 2024. gada 18. decembrī norisinājās IZM un CFLA organizēts seminārs ar 3.1.1.5. investīcijas finansējuma saņēmējiem.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2. otrās projektu iesniedzēju priekšatlases kārtas ietvaros plānotais Atveseļošanas fonda finansējums ir 4 403 243 </w:t>
            </w:r>
            <w:r w:rsidR="00000000" w:rsidRPr="00000000" w:rsidDel="00000000">
              <w:rPr>
                <w:i w:val="1"/>
                <w:rtl w:val="0"/>
              </w:rPr>
              <w:t xml:space="preserve">euro;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 Trešajā projektu iesniedzēju priekšatlases kārtā piedalās pašvaldība, kas ne vēlāk kā 20 kalendāro dienu laikā pēc šo noteikumu spēkā stāšanās pieņem un saskaņošanai nozares ministrijā iesniedz pašvaldības domes pieņemtus lēmumus par vispārējās vidējās izglītības iestāžu tīkla sakārtošanu atbilstoši šo noteikumu 11.</w:t>
            </w:r>
            <w:r w:rsidR="00000000" w:rsidRPr="00000000" w:rsidDel="00000000">
              <w:rPr>
                <w:vertAlign w:val="superscript"/>
                <w:rtl w:val="0"/>
              </w:rPr>
              <w:t xml:space="preserve">2</w:t>
            </w:r>
            <w:r w:rsidR="00000000" w:rsidRPr="00000000" w:rsidDel="00000000">
              <w:rPr>
                <w:rtl w:val="0"/>
              </w:rPr>
              <w:t xml:space="preserve"> punktā minētajiem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- 12.12.2024.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noteikumi stājušies spēkā 2022. gada 4. oktobrī, līdz ar to termiņš "ne vēlāk kā 20 kalendāro dienu laikā pēc šo noteikumu spēkā stāšanās" ir sen beidzies un šis noteikumu projekta punkts nav izpildāms.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izpildāmus termiņus.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precizēts noteikumu projekts, to papildinot ar jaunu sadaļu “Noslēguma jautājums”, kur ietverts punkts par termiņu kādā pašvaldības ir jāpieņem domes lēmums (vai lēmumi) par vispārējās vidējās izglītības iestāžu tīkla sakārtošanu atbilstoši šo noteikumu 11.</w:t>
            </w:r>
            <w:r w:rsidR="00000000" w:rsidRPr="00000000" w:rsidDel="00000000">
              <w:rPr>
                <w:vertAlign w:val="superscript"/>
                <w:rtl w:val="0"/>
              </w:rPr>
              <w:t xml:space="preserve">2</w:t>
            </w:r>
            <w:r w:rsidR="00000000" w:rsidRPr="00000000" w:rsidDel="00000000">
              <w:rPr>
                <w:rtl w:val="0"/>
              </w:rPr>
              <w:t xml:space="preserve"> punktā minētajiem kritērijiem, lai piedalītos trešajā projektu iesniedzēju priekšatlases kārtā piedalās, kas ne vēlāk kā 20 dienu laikā pēc šo noteikumu spēkā stāšanās.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 Trešajā projektu iesniedzēju priekšatlases kārtā piedalās pašvaldība, kas šo noteikumu 45. punktā noteiktajā termiņā pieņem un pēc tam saskaņošanai nozares ministrijā iesniedz pašvaldības domes lēmumu par vispārējās vidējās izglītības iestāžu tīkla sakārtošanu atbilstoši šo noteikumu 11.</w:t>
            </w:r>
            <w:r w:rsidR="00000000" w:rsidRPr="00000000" w:rsidDel="00000000">
              <w:rPr>
                <w:vertAlign w:val="superscript"/>
                <w:rtl w:val="0"/>
              </w:rPr>
              <w:t xml:space="preserve">2</w:t>
            </w:r>
            <w:r w:rsidR="00000000" w:rsidRPr="00000000" w:rsidDel="00000000">
              <w:rPr>
                <w:rtl w:val="0"/>
              </w:rPr>
              <w:t xml:space="preserve"> punktā minētajiem kritērijiem.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 Trešajā projektu iesniedzēju priekšatlases kārtā piedalās pašvaldība, kas ne vēlāk kā 20 kalendāro dienu laikā pēc šo noteikumu spēkā stāšanās pieņem un saskaņošanai nozares ministrijā iesniedz pašvaldības domes pieņemtus lēmumus par vispārējās vidējās izglītības iestāžu tīkla sakārtošanu atbilstoši šo noteikumu 11.</w:t>
            </w:r>
            <w:r w:rsidR="00000000" w:rsidRPr="00000000" w:rsidDel="00000000">
              <w:rPr>
                <w:vertAlign w:val="superscript"/>
                <w:rtl w:val="0"/>
              </w:rPr>
              <w:t xml:space="preserve">2</w:t>
            </w:r>
            <w:r w:rsidR="00000000" w:rsidRPr="00000000" w:rsidDel="00000000">
              <w:rPr>
                <w:rtl w:val="0"/>
              </w:rPr>
              <w:t xml:space="preserve"> punktā minētajiem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2. punktā ietverto nosacījumu nav iespējams izpildīt, jo attiecīgais termiņš jau ir notecējis (proti, pagājušas vairāk nekā 20 kalendārās dienas no šo noteikumu spēkā stāšanās), tādēļ lūdzam precizēt minēto noteikumu projekta punktu, nodrošinot attiecīgās normas mērķa sasniegšanu.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izziņas 3.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 Trešajā projektu iesniedzēju priekšatlases kārtā piedalās pašvaldība, kas šo noteikumu 45. punktā noteiktajā termiņā pieņem un pēc tam saskaņošanai nozares ministrijā iesniedz pašvaldības domes lēmumu par vispārējās vidējās izglītības iestāžu tīkla sakārtošanu atbilstoši šo noteikumu 11.</w:t>
            </w:r>
            <w:r w:rsidR="00000000" w:rsidRPr="00000000" w:rsidDel="00000000">
              <w:rPr>
                <w:vertAlign w:val="superscript"/>
                <w:rtl w:val="0"/>
              </w:rPr>
              <w:t xml:space="preserve">2</w:t>
            </w:r>
            <w:r w:rsidR="00000000" w:rsidRPr="00000000" w:rsidDel="00000000">
              <w:rPr>
                <w:rtl w:val="0"/>
              </w:rPr>
              <w:t xml:space="preserve"> punktā minētajiem kritērijiem.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1. pašvaldība ir pieņēmusi lēmumus par ārpus pašvaldības administratīvā centra esošo vispārējās vidējās izglītības iestāžu reorganizāciju. Lēmumu par ārpus pašvaldības administratīvā centra esošas vispārējās vidējās izglītības iestādes reorganizāciju pašvaldība var nepieņemt, ja saskaņā ar Valsts izglītības informācijas sistēmas datiem uz 2024. gada 1. septembri vispārējās vidējās izglītības iestādē 10.–12. klašu grupā ir vismaz 60 izglītojamie. Aizputes vidusskolas, Aknīstes vidusskolas, Auces vidusskolas, Dagdas vidusskolas, Dundagas vidusskolas, Engures vidusskolas, Jaunpiebalgas vidusskolas, Kārsavas vidusskolas, Kaunatas vidusskolas, Rojas vidusskolas, Rūjienas vidusskolas, Salacgrīvas vidusskolas, Skaistkalnes vidusskolas vai Vaiņodes vidusskolas gadījumā saskaņā ar Valsts izglītības informācijas sistēmas datiem uz 2024. gada 1. septembri vispārējās vidējās izglītības iestādē 10.–12. klašu grupā ir vismaz 30 izglītojamie;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punktu 11.</w:t>
            </w:r>
            <w:r w:rsidR="00000000" w:rsidRPr="00000000" w:rsidDel="00000000">
              <w:rPr>
                <w:vertAlign w:val="superscript"/>
                <w:rtl w:val="0"/>
              </w:rPr>
              <w:t xml:space="preserve">2</w:t>
            </w:r>
            <w:r w:rsidR="00000000" w:rsidRPr="00000000" w:rsidDel="00000000">
              <w:rPr>
                <w:rtl w:val="0"/>
              </w:rPr>
              <w:t xml:space="preserve">1. izteikt sekojošā redakcijā: pašvaldība ir pieņēmusi lēmumus par ārpus pašvaldības administratīvā centra esošo vispārējās vidējās izglītības iestāžu reorganizāciju. Lēmumu par ārpus pašvaldības administratīvā centra esošas vispārējās vidējās izglītības iestādes reorganizāciju pašvaldība var nepieņemt, ja saskaņā ar Valsts izglītības informācijas sistēmas datiem uz 2024. gada 1. septembri vispārējās vidējās izglītības iestādē 10.–12. klašu grupā ir vismaz 60 izglītojamie. Aizputes vidusskolas, </w:t>
            </w:r>
            <w:r w:rsidR="00000000" w:rsidRPr="00000000" w:rsidDel="00000000">
              <w:rPr>
                <w:b w:val="1"/>
                <w:rtl w:val="0"/>
              </w:rPr>
              <w:t xml:space="preserve">Viesītes</w:t>
            </w:r>
            <w:r w:rsidR="00000000" w:rsidRPr="00000000" w:rsidDel="00000000">
              <w:rPr>
                <w:rtl w:val="0"/>
              </w:rPr>
              <w:t xml:space="preserve"> vidusskolas, Auces vidusskolas, Dagdas vidusskolas, Dundagas vidusskolas, Engures vidusskolas, Jaunpiebalgas vidusskolas, Kārsavas vidusskolas,</w:t>
            </w:r>
            <w:r w:rsidR="00000000" w:rsidRPr="00000000" w:rsidDel="00000000">
              <w:rPr>
                <w:b w:val="1"/>
                <w:rtl w:val="0"/>
              </w:rPr>
              <w:t xml:space="preserve"> Zilupes vidusskolas</w:t>
            </w:r>
            <w:r w:rsidR="00000000" w:rsidRPr="00000000" w:rsidDel="00000000">
              <w:rPr>
                <w:rtl w:val="0"/>
              </w:rPr>
              <w:t xml:space="preserve">,  </w:t>
            </w:r>
            <w:r w:rsidR="00000000" w:rsidRPr="00000000" w:rsidDel="00000000">
              <w:rPr>
                <w:b w:val="1"/>
                <w:rtl w:val="0"/>
              </w:rPr>
              <w:t xml:space="preserve">Viļakas vidusskolas, Rekavas vidusskolas</w:t>
            </w:r>
            <w:r w:rsidR="00000000" w:rsidRPr="00000000" w:rsidDel="00000000">
              <w:rPr>
                <w:b w:val="1"/>
                <w:u w:val="single"/>
                <w:rtl w:val="0"/>
              </w:rPr>
              <w:t xml:space="preserve">, </w:t>
            </w:r>
            <w:r w:rsidR="00000000" w:rsidRPr="00000000" w:rsidDel="00000000">
              <w:rPr>
                <w:b w:val="1"/>
                <w:rtl w:val="0"/>
              </w:rPr>
              <w:t xml:space="preserve">Baltinavas</w:t>
            </w:r>
            <w:r w:rsidR="00000000" w:rsidRPr="00000000" w:rsidDel="00000000">
              <w:rPr>
                <w:b w:val="1"/>
                <w:u w:val="single"/>
                <w:rtl w:val="0"/>
              </w:rPr>
              <w:t xml:space="preserve"> vidusskolas,</w:t>
            </w:r>
            <w:r w:rsidR="00000000" w:rsidRPr="00000000" w:rsidDel="00000000">
              <w:rPr>
                <w:rtl w:val="0"/>
              </w:rPr>
              <w:t xml:space="preserve"> Kaunatas vidusskolas, Rojas vidusskolas, Rūjienas vidusskolas, Salacgrīvas vidusskolas, Skaistkalnes vidusskolas un</w:t>
            </w:r>
            <w:r w:rsidR="00000000" w:rsidRPr="00000000" w:rsidDel="00000000">
              <w:rPr>
                <w:b w:val="1"/>
                <w:rtl w:val="0"/>
              </w:rPr>
              <w:t xml:space="preserve">  Nīcas </w:t>
            </w:r>
            <w:r w:rsidR="00000000" w:rsidRPr="00000000" w:rsidDel="00000000">
              <w:rPr>
                <w:rtl w:val="0"/>
              </w:rPr>
              <w:t xml:space="preserve">vidusskolas gadījumā saskaņā ar Valsts izglītības informācijas sistēmas datiem uz 2024. gada 1. septembri vispārējās vidējās izglītības iestādē 10.–12. klašu grupā ir vismaz 30 izglītojamie;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Dienvidkurzemes novada pašvaldība respektējot IZM rekomendācijas ir pieņēmusi lēmumu par Priekules vidusskolas reorganizāciju par pamatskolu no 2026.gada 1.septembra. Jau šajā mācību gadā netika atvērta Priekules vidusskolā 10.klase. </w:t>
            </w:r>
            <w:r w:rsidR="00000000" w:rsidRPr="00000000" w:rsidDel="00000000">
              <w:rPr>
                <w:b w:val="1"/>
                <w:rtl w:val="0"/>
              </w:rPr>
              <w:t xml:space="preserve">Vienlaikus sarunās IZM pārstāvji nenoraidīja arī turpmāk pastāvēt Nīcas vidusskolai.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Izdodot Ministru kabineta rīkojumu Nr. 598, tam pievienotajā anotācijā norādīts – ir atsauces, ka atbilstoša nav arī Vaiņodes vidusskolas tālākā pastāvēšana, bet šobrīd secināms, ka viedoklis ir grozīts. Šī brīža situācija parāda, ka IZM ir mainījis viedokli attiecībā uz virkni Latvijas vidusskolu, tai skaitā, Vaiņodes vidusskola.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Vaiņodes vidusskolā skolēnu skaits ir 39, savukārt Nīcas vidusskolā skolēnu skaits ir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Nīcas vidusskola atrodas teritorijā, kura apkalpo skolēnus sākot no Lietuvas robežas līdz Liepājai, kas sastāda 60km.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Vairākkārtīgās sarunās starp IZM un LPS, IZM pārstāvji informēja, ka būs arī teritorijās, kurās nevar definēt precīzi kritērijus – īpašie līgumi, bet nevarēja piedāvāt līguma projektus apspriešanai, kā arī normatīvie akti neparedz šādus līgumus.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normatīvie akti precīzi nav noteikuši, lūdzu, iekļaut noteikumu projektā Nīcas vidusskolu.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Rīcības plāns Latvijas Austrumu pierobežas ekonomiskajai izaugsmei un drošības stiprināšanai 2025.–2027. gadam</w:t>
            </w:r>
            <w:r w:rsidR="00000000" w:rsidRPr="00000000" w:rsidDel="00000000">
              <w:rPr>
                <w:rtl w:val="0"/>
              </w:rPr>
              <w:t xml:space="preserve"> paredz 53.-54.lpp.Tāpat būtiski ir nodrošināt dažādu pakalpojumu, piemēram, izglītības un veselības jomā, pieejamību. Teritorijas apdzīvotība Austrumu pierobežā ir nozīmīgs aspekts arī drošības kontekstā*.Iepriekšminētais tiks veicināts, izglītības jomā stiprinot vispārējās izglītības pieejamību Austrumu pierobežā, t.sk. sniedzot atbalstu skolu saglabāšanai Austrumu pierobežā, piemērojot </w:t>
            </w:r>
            <w:r w:rsidR="00000000" w:rsidRPr="00000000" w:rsidDel="00000000">
              <w:rPr>
                <w:b w:val="1"/>
                <w:rtl w:val="0"/>
              </w:rPr>
              <w:t xml:space="preserve">zemākus kritērijus minimālajam skolēnu skaitam - nodrošinot vismaz 8 pieejamības jeb izņēmuma  skolas*;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izziņas 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uz iebildumā minētajām Ludzas novada pašvaldības izglītības iestādēm - Kārsavas vidusskolu un Zilupes vidusskolu, kas abas ir vienīgās vispārējās vidējās izglītības iestādes ārpus Ludzas novada pašvaldības administratīvā centra. Nosakot tās abas kā gadījumus kādos reorganizācijas lēmumi var netikt pieņemti, tiek radīta situācija, ka Ludzas novada pašvaldība nevar piedalīties projektu iesniedzēju priekšatlasē, jo tās administratīvajā teritorijā nedarbojas cita ārpus tās administratīvā centra esoša vispārējās vidējās izglītības iestāde.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īpaši vēršam uzmanību uz Latvijas atveseļošanas un noturības plānā noteikto 3.1.1.5.i investīcijas mērķi par visaptveroša novada pašvaldību izglītības iestāžu tīkla sakārtošanu.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Rīcības plānu Latvijas Austrumu pierobežas ekonomiskajai izaugsmei un drošības stiprināšanai 2025.–2027. gadam, vēršam uzmanību, ka tā 55. lp. minēta 3.1.1.5.i investīcija, neparedzot citādus izņēmums, vienlaikus norādot, ka starp plānotās priekšatlases dalībniekiem var piedalīties arī novadu pašvaldības, kas veido Austrumu pierobežu.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1. pašvaldība ir pieņēmusi lēmumus par ārpus pašvaldības administratīvā centra esošo vispārējās vidējās izglītības iestāžu reorganizāciju. Lēmumu par ārpus pašvaldības administratīvā centra esošas vispārējās vidējās izglītības iestādes reorganizāciju pašvaldība var nepieņemt, ja saskaņā ar Valsts izglītības informācijas sistēmas datiem uz 2024. gada 1. septembri vispārējās vidējās izglītības iestādē 10.–12. klašu grupā ir vismaz 60 izglītojamie. Aizputes vidusskolas, Auces vidusskolas, Dagdas vidusskolas, Dundagas vidusskolas, Engures vidusskolas, Jaunpiebalgas vidusskolas, Kārsavas vidusskolas, Kaunatas vidusskolas, Nīcas vidusskolas, Rojas vidusskolas, Rūjienas vidusskolas, Salacgrīvas vidusskolas, Skaistkalnes vidusskolas, Vaiņodes vidusskolas, Viesītes vidusskolas vai Viļakas vidusskolas gadījumā saskaņā ar Valsts izglītības informācijas sistēmas datiem uz 2024. gada 1. septembri vispārējās vidējās izglītības iestādē 10.–12. klašu grupā ir vismaz 30 izglītojamie;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izziņas 8.punktā ietverto priekšlikumu un atkārtoti lūdzam papildināt izziņu ar pamatojumu, kāpēc investīcijas var tikt veiktas arī t.s. pieejamības skolās, un ar pamatojumu par pieejamības skolu atbilstību Padomes īstenošanas lēmumā, ar ko groza 2021. gada 13. jūlija Īstenošanas lēmumu (ES) par Latvijas atveseļošanas un noturības plāna novērtējuma apstiprināšanu (turpmāk – CID) noteiktajam, ka 3.1.1.5.i investīcijas "Izglītības iestāžu infrastruktūras pilnveide un aprīkošana" ieguldījumu ietvaros tiek apvienotas investīcijas ar skolu tīkla optimizāciju. Vēršam uzmanību, ka sniedzot informāciju Eiropas Komisijai par CID rādītāja izpildi būs jāpamato investīciju sasaiste ar skolu tīkla optimizāciju.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3. punktā ietvertais 11.21. apakšpunkts nosaka nevis gadījumus kādos pašvaldības paredz Atveseļošanas fonda investīcijas, bet gan izņēmuma gadījumus kādos var netikt pieņemts lēmums par vispārējās vidējās izglītības iestādes izglītības pakāpes 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 punktā ietvertais 11.22. apakšpunktā noteikts, ka </w:t>
            </w:r>
            <w:r w:rsidR="00000000" w:rsidRPr="00000000" w:rsidDel="00000000">
              <w:rPr>
                <w:b w:val="1"/>
                <w:u w:val="single"/>
                <w:rtl w:val="0"/>
              </w:rPr>
              <w:t xml:space="preserve">pašvaldība investīcijai prioritāri izvirza par pamatskolu reorganizētu vispārējās izglītības iestādi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jau sākotnēji apstiprinātie Ministru kabineta noteikumi par 3.1.1.5.i investīcijas “Izglītības iestāžu infrastruktūras pilnveide un aprīkošana” īstenošanu, kas cita starpā tika saskaņoti ar Eiropas Komisiju, noteica </w:t>
            </w:r>
            <w:r w:rsidR="00000000" w:rsidRPr="00000000" w:rsidDel="00000000">
              <w:rPr>
                <w:b w:val="1"/>
                <w:u w:val="single"/>
                <w:rtl w:val="0"/>
              </w:rPr>
              <w:t xml:space="preserve">trīs </w:t>
            </w:r>
            <w:r w:rsidR="00000000" w:rsidRPr="00000000" w:rsidDel="00000000">
              <w:rPr>
                <w:rtl w:val="0"/>
              </w:rPr>
              <w:t xml:space="preserve">gadījumus kādos pašvaldība var nepieņemt lēmumus par vispārējās vidējās izglītības iestādes izglītības pakāpes maiņu. Kā minēts anotācijā, tad projektu iesniedzēju priekšatlases kritērijs par t.s. pieejamības skolām (ar samazinātu izglītojamo skaitu 10. – 12. klašu grupā) aizstāj jau sākotnēji noteikto -  par izglītojamo skaita attiecību vispārējās vidējās izglītības iestādes skolotāju.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2. punktā ietverto iebildumu atkārtoti lūdzam noteikumu projekta anotācijā skaidrot, vai pašvaldības, kuras konkrētais regulējums skar, tikušas iepazīstinātas ar attiecīgajām noteikumu projektā paredzētajām izmaiņām (finansējuma samazinājumu un 20 % ierobežojumu sporta zāles pārbūves un atjaunošanas izmaksām) un ir tām piekritušas.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noteikumu projekts tiek saskaņots ar pašvaldību pārstāvošajām organizācijām – Latvijas Pašvaldību savienību, Latvijas Lielo pilsētu asociāciju, Reģionālo attīstības centru un novadu apvienību. Kā arī pašvaldībām ir tiesības sniegt individuālus atzinumus (to apliecina Dienvidkurzemes novada pašvaldības divi dotie atzinumi).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izvērst pamatojumu anotācijā par noteikumu projekta 22.</w:t>
            </w:r>
            <w:r w:rsidR="00000000" w:rsidRPr="00000000" w:rsidDel="00000000">
              <w:rPr>
                <w:vertAlign w:val="superscript"/>
                <w:rtl w:val="0"/>
              </w:rPr>
              <w:t xml:space="preserve">3</w:t>
            </w:r>
            <w:r w:rsidR="00000000" w:rsidRPr="00000000" w:rsidDel="00000000">
              <w:rPr>
                <w:rtl w:val="0"/>
              </w:rPr>
              <w:t xml:space="preserve">.1 apakšpunktā iekļauto sporta laukumu pārbūves izmaksu atbilstību CID iekļautajām investīciju prasībām, ka "var paredzēt investīcijas izglītības iestāžu fiziskās vides uzlabošanai – klašu telpām, kas atbilst higiēnas prasībām, inženiertīklu (tostarp ventilācijas sistēmu) rekonstrukcijai, pietiekama un energoefektīva apgaismojuma nodrošināšanai, kā arī citiem ergonomiskiem un mūsdienīgiem izglītības vides risinājumiem. Šīs investīcijas skolu infrastruktūrā saskaņā ar ANM var izmantot arī informācijas tehnoloģiju un zinātnes, tehnoloģiju, inženierzinātņu un matemātikas iekārtu iegādei, jaunu, uzlabotu mācību programmu īstenošanai un attālinātu un tiešsaistes mācību īstenošanai." Vienlaikus lūdzam papildināt ar informāciju, ka tiks nodrošināta investīciju nepārklāšanās ar Eiropas Savienības kohēzijas politikas programmas 2021.-2027.gadam 4.2.1.specifiskā atbalsta mērķa ietvaros plānotajām investīcijām vispārējās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aicinām Izglītības un zinātnes ministriju sagatavot jautājumu Eiropas Komisijai par minēto izmaksu attiecināmību.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Atveseļošana fonda Eiropas savienības atveseļošanas un noturības mehānisma plānu, kur  834. punktā minēts, ka 3.1.1.5.i. ietvaros tiks veikta izglītības iestāžu infrastruktūras pilnveide un aprīkošana, kas nodrošinās [..] izglītības iestādes ar augstas kvalitātes vispārējās izglītības nodrošinājumu, veicinot izglītības programmu piedāvājumu visā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Ministru kabineta 2002.gada 27.decembra noteikumi Nr.610 “Higiēnas prasības izglītības iestādēm, kas īsteno vispārējās pamatizglītības, vispārējās vidējās izglītības, profesionālās pamatizglītības, arodizglītības vai profesionālās vidējās izglītības programmas” 11. punkta izriet, kas izglītības iestādes teritorijā ir jābūt iestādes specifikai atbilstoša sporta zona (sporta laukums vai stadions, telpas vai būves sporta inventāra glabāšanai).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mācību priekšmeta “Sports un veselība” programmā ir noteikts, ka tā apguvei kā mācību vide ir nepieciešams āra sporta laukums atbilstoši skolēnu veselībai un drošībai.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ministrijas gūtā pieredze, organizējot citas investīciju programmu atlases, nereti liecina par novecojošiem sporta laukumiem, kas ir izglītojamo veselību apdraudoši (izdrupuši un citādi bojāti skrejceļi,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Šādos gadījumos investīcijas var tikt paredzētas tiktāl, ciktāl tas nepieciešamas mācību priekšmeta „Sports un Veselība” apguvei (laukums, skrejceļi, vieglatlētikas sektori, āra trenažieri utml., atskaitot tribīnes, apgaismojums u.c.).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11.</w:t>
            </w:r>
            <w:r w:rsidR="00000000" w:rsidRPr="00000000" w:rsidDel="00000000">
              <w:rPr>
                <w:vertAlign w:val="superscript"/>
                <w:rtl w:val="0"/>
              </w:rPr>
              <w:t xml:space="preserve">2</w:t>
            </w:r>
            <w:r w:rsidR="00000000" w:rsidRPr="00000000" w:rsidDel="00000000">
              <w:rPr>
                <w:rtl w:val="0"/>
              </w:rPr>
              <w:t xml:space="preserve">1. apakšpunktā iekļauts izņēmums, ka investīcijas var tikt veiktas arī t.s. pieejamības skolās, lūdzam papildināt anotāciju ar pamatojumu par noteikumu projekta 11.</w:t>
            </w:r>
            <w:r w:rsidR="00000000" w:rsidRPr="00000000" w:rsidDel="00000000">
              <w:rPr>
                <w:vertAlign w:val="superscript"/>
                <w:rtl w:val="0"/>
              </w:rPr>
              <w:t xml:space="preserve">2</w:t>
            </w:r>
            <w:r w:rsidR="00000000" w:rsidRPr="00000000" w:rsidDel="00000000">
              <w:rPr>
                <w:rtl w:val="0"/>
              </w:rPr>
              <w:t xml:space="preserve">1. apakšpunktā iekļautā izņēmuma sasaisti ar skolu tīkla optimizāciju, lai nodrošinātu atbilstību Padomes īstenošanas lēmumā, ar ko groza 2021. gada 13. jūlija Īstenošanas lēmumu (ES) par Latvijas atveseļošanas un noturības plāna novērtējuma apstiprināšanu (turpmāk – CID) noteiktajam, ka 3.1.1.5.i investīcijas "Izglītības iestāžu infrastruktūras pilnveide un aprīkošana" ieguldījumu "mērķis ir uzlabot reģionālo skolu kvalitāti, apvienojot investīcijas ar skolu tīkla optimizāciju". Vēršam uzmanību, ka sniedzot informāciju Eiropas Komisijai par CID rādītāja izpildi būs jāpamato investīciju sasaiste ar skolu tīkla optimizāciju.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noteikumu projekta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anotācijas 1.3. sadaļu ar izvērtējumu par ierosināto grozījumu ietekmi uz finansējuma saņēmējiem un īstenošanā esošajiem projektiem, vienlaikus skaidrojot, vai būs nepieciešami grozījumi noslēgtajās vienošanās par investīciju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noteikumu projekta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Investīcijas mērķi sasniedz, īstenojot šo noteikumu </w:t>
            </w:r>
            <w:r w:rsidR="00000000" w:rsidRPr="00000000" w:rsidDel="00000000">
              <w:rPr>
                <w:rtl w:val="0"/>
              </w:rPr>
              <w:t xml:space="preserve">21.</w:t>
            </w:r>
            <w:r w:rsidR="00000000" w:rsidRPr="00000000" w:rsidDel="00000000">
              <w:rPr>
                <w:rtl w:val="0"/>
              </w:rPr>
              <w:t xml:space="preserve"> punktā</w:t>
            </w:r>
            <w:r w:rsidR="00000000" w:rsidRPr="00000000" w:rsidDel="00000000">
              <w:rPr>
                <w:rtl w:val="0"/>
              </w:rPr>
              <w:t xml:space="preserve"> minētās atbalstāmās darbības un sasniedzot šādu mērķa rādītāju – līdz 2026. gada 31. maijam pilnveidota un aprīkota infrastruktūra 21 pašvaldību dibinātā vispārējās izglītības iestādē.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par : 40. Finansējuma saņēmējs projektu īsteno saskaņā ar noslēgto vienošanos par projekta īstenošanu un ne ilgāk kā līdz 2026. gada 31. maijam, ievērojot, ka aģentūra projekta noslēguma dokumentācijas pārbaudi un noslēguma maksājumu veic līdz 2026. gada 31. augustam.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atbalstāmās darbības un mērķu rādītāju sasniegšanas termiņa pabeigšanas datumu noteikt 2026. gada 31. oktobri pašreiz noteiktā 2026. gada 31. maija vietā. Termiņa pagarinājums projektu īstenotājiem dos lielāku pārliecību, ka visas projekta aktualitātes varēsim īstenot visās izglītības iestādēs līdz 2026.gada 1.septembrim, jo ir būtiski izmantot vasaras mēnešu brīvlaiku skolās, kad skolu ēkās nav skolēni, lai netraucētu izglītības procesu un varētu veikt attiecīgos būvdarbus (2025.gada un 2026.gada vasaras mēnešos).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projektu īstenošanas gala termiņš noteikts samērīgs, lai Centrālā finanšu un līgumu aģentūra noteikumu 40. punktā noteiktajā termiņā - 2026. gada 31. augusts, nodrošinātu projektu noslēgumu dokumentācijas pārbaudi un veiktu noslēguma maksājumu.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Investīcijas mērķi sasniedz, īstenojot šo noteikumu </w:t>
            </w:r>
            <w:r w:rsidR="00000000" w:rsidRPr="00000000" w:rsidDel="00000000">
              <w:rPr>
                <w:rtl w:val="0"/>
              </w:rPr>
              <w:t xml:space="preserve">21.</w:t>
            </w:r>
            <w:r w:rsidR="00000000" w:rsidRPr="00000000" w:rsidDel="00000000">
              <w:rPr>
                <w:rtl w:val="0"/>
              </w:rPr>
              <w:t xml:space="preserve"> punktā</w:t>
            </w:r>
            <w:r w:rsidR="00000000" w:rsidRPr="00000000" w:rsidDel="00000000">
              <w:rPr>
                <w:rtl w:val="0"/>
              </w:rPr>
              <w:t xml:space="preserve"> minētās atbalstāmās darbības un sasniedzot šādu mērķa rādītāju – līdz 2026. gada 31. maijam pilnveidota un aprīkota infrastruktūra 21 pašvaldību dibinātā vispārējās izglītības iestādē.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1. pašvaldība ir pieņēmusi lēmumus par ārpus pašvaldības administratīvā centra esošo vispārējās vidējās izglītības iestāžu reorganizāciju. Lēmumu par ārpus pašvaldības administratīvā centra esošas vispārējās vidējās izglītības iestādes reorganizāciju pašvaldība var nepieņemt, ja saskaņā ar Valsts izglītības informācijas sistēmas datiem uz 2024. gada 1. septembri vispārējās vidējās izglītības iestādē 10.–12. klašu grupā ir vismaz 60 izglītojamie. Aizputes vidusskolas, Auces vidusskolas, Dagdas vidusskolas, Dundagas vidusskolas, Engures vidusskolas, Jaunpiebalgas vidusskolas, Kārsavas vidusskolas, Kaunatas vidusskolas, Rojas vidusskolas, Rūjienas vidusskolas, Salacgrīvas vidusskolas, Skaistkalnes vidusskolas, Vaiņodes vidusskolas vai Viesītes vidusskolas gadījumā saskaņā ar Valsts izglītības informācijas sistēmas datiem uz 2024. gada 1. septembri vispārējās vidējās izglītības iestādē 10.–12. klašu grupā ir vismaz 30 izglītojamie;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lūdz puntu 11.</w:t>
            </w:r>
            <w:r w:rsidR="00000000" w:rsidRPr="00000000" w:rsidDel="00000000">
              <w:rPr>
                <w:vertAlign w:val="superscript"/>
                <w:rtl w:val="0"/>
              </w:rPr>
              <w:t xml:space="preserve">2</w:t>
            </w:r>
            <w:r w:rsidR="00000000" w:rsidRPr="00000000" w:rsidDel="00000000">
              <w:rPr>
                <w:rtl w:val="0"/>
              </w:rPr>
              <w:t xml:space="preserve">1 izteikt sekojošā redakcijā: 11.21. pašvaldība ir pieņēmusi lēmumus par ārpus pašvaldības administratīvā centra esošo vispārējās vidējās izglītības iestāžu reorganizāciju. Lēmumu par ārpus pašvaldības administratīvā centra esošas vispārējās vidējās izglītības iestādes reorganizāciju pašvaldība var nepieņemt, ja saskaņā ar Valsts izglītības informācijas sistēmas datiem uz 2024. gada 1. septembri vispārējās vidējās izglītības iestādē 10.–12. klašu grupā ir vismaz 60 izglītojamie. Aizputes vidusskolas, Auces vidusskolas, Dagdas vidusskolas, Dundagas vidusskolas, Engures vidusskolas, Jaunpiebalgas vidusskolas, Kārsavas vidusskolas,  Kaunatas vidusskolas, </w:t>
            </w:r>
            <w:r w:rsidR="00000000" w:rsidRPr="00000000" w:rsidDel="00000000">
              <w:rPr>
                <w:b w:val="1"/>
                <w:rtl w:val="0"/>
              </w:rPr>
              <w:t xml:space="preserve">Nīcas vidusskolas</w:t>
            </w:r>
            <w:r w:rsidR="00000000" w:rsidRPr="00000000" w:rsidDel="00000000">
              <w:rPr>
                <w:rtl w:val="0"/>
              </w:rPr>
              <w:t xml:space="preserve">, Rojas vidusskolas, Rūjienas vidusskolas, Salacgrīvas vidusskolas, Skaistkalnes vidusskolas, Vaiņodes vidusskolas, </w:t>
            </w:r>
            <w:r w:rsidR="00000000" w:rsidRPr="00000000" w:rsidDel="00000000">
              <w:rPr>
                <w:b w:val="1"/>
                <w:rtl w:val="0"/>
              </w:rPr>
              <w:t xml:space="preserve">Viļakas vidusskolas</w:t>
            </w:r>
            <w:r w:rsidR="00000000" w:rsidRPr="00000000" w:rsidDel="00000000">
              <w:rPr>
                <w:rtl w:val="0"/>
              </w:rPr>
              <w:t xml:space="preserve"> vai Viesītes vidusskolas gadījumā saskaņā ar Valsts izglītības informācijas sistēmas datiem uz 2024. gada 1. septembri vispārējās vidējās izglītības iestādē 10.–12. klašu grupā ir vismaz 30 izglītojamie;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Nīcas vidusskola atrodas</w:t>
            </w:r>
            <w:r w:rsidR="00000000" w:rsidRPr="00000000" w:rsidDel="00000000">
              <w:rPr>
                <w:rtl w:val="0"/>
              </w:rPr>
              <w:t xml:space="preserve"> Dienvidkurzemes novada dienvidu daļā. Attālums no Nīcas līdz Lietuvas robežai ir vairāk, kā 40 km, līdz Liepājas pilsētai no Lietuvas robežas attālums ir vairāk, kā 70 km. Nīcas vidusskola nodrošina vidējās izglītības pieejamību Rucavas,  Dunikas un Popes ciema bērniem. No tālākajām apdzīvotajām vietām līdz Nīcas vidusskolai ir vairāk kā 50 km, un, ņemot vērā, ceļa tīkla kvalitāti, ceļā pavadītais laiks pārsniedz 1h.</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Nīcas vidusskola nodrošina labu izglītības kvalitāti. </w:t>
            </w:r>
            <w:r w:rsidR="00000000" w:rsidRPr="00000000" w:rsidDel="00000000">
              <w:rPr>
                <w:rtl w:val="0"/>
              </w:rPr>
              <w:t xml:space="preserve">Pēdējos gados visi 12.un 9.klases skolēni pabeidz skolu (nav nesekmīgo). 2024.gada Drarudzīgā Aicinājuma skolu reitingā kategorijā Lauku vidusskolas (pēc centralizēto eksāmenu rezultātiem) Nīcas vidusskola kopvērtējumā ir 11 vietā, 7.vietā matvas emātikā, 7.vietā latviešu valodā un  17.vietā - angļu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Nīcas vidusskolas beidzēji turpina studijas Latvijas augstskolās, koledžās un iegūst profesijas, kurās var turpināt mācīties pēc vidusskolas beigšanas. Skolā ir labi attīstīta karjeras izglītība.Ir jāatzīmē  Nīcas kultūrtelpa, kura atrodas  Nacionālā nemateriālā kultūras mantojuma saraksta vērtībā kopš 2022. gada.  Nīcas kultūras telpu izdodas uzturēt, lielā mērā pateicoties, ka tajā aktīvi iesaistās Nīcas vidusskola, visvairāk vidusskolas posma audzēkņi.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Ņemot vērā,  attālumu no Lietuvas robežas līdz Liepājas pilsētai vairāk kā 70 km, Nīcas vidusskolas izglītības kvalitāti un Dienvidkurzemes novada lielos attālumus un ceļu stāvokli lūdzu, Nīcas vidusskolu iekļaut pieejamības skolu sarakstā.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Viļakas vidusskola. </w:t>
            </w:r>
            <w:r w:rsidR="00000000" w:rsidRPr="00000000" w:rsidDel="00000000">
              <w:rPr>
                <w:rtl w:val="0"/>
              </w:rPr>
              <w:t xml:space="preserve">Balvu novada Izglītības un kultūras komiteja, izvērtējot vidusskolu tīklu, pie ES ārējās robežas pieņēma lēmumu par</w:t>
            </w:r>
            <w:r w:rsidR="00000000" w:rsidRPr="00000000" w:rsidDel="00000000">
              <w:rPr>
                <w:b w:val="1"/>
                <w:rtl w:val="0"/>
              </w:rPr>
              <w:t xml:space="preserve"> Viļakas vidusskolas saglabāšanu, kā pieejamības skolu</w:t>
            </w:r>
            <w:r w:rsidR="00000000" w:rsidRPr="00000000" w:rsidDel="00000000">
              <w:rPr>
                <w:rtl w:val="0"/>
              </w:rPr>
              <w:t xml:space="preserve"> un ar 2025.gada 1.septembri neatvērt 10.klasi Baltinavas un Rekavas vidusskolās. Pieņemto lēmumu virzīt apstiprināšanai Balvu novada domē.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Lūdzu Viļakas vidusskolu iekļaut, kā pieejamības skolu.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1. pašvaldība ir pieņēmusi lēmumus par ārpus pašvaldības administratīvā centra esošo vispārējās vidējās izglītības iestāžu reorganizāciju. Lēmumu par ārpus pašvaldības administratīvā centra esošas vispārējās vidējās izglītības iestādes reorganizāciju pašvaldība var nepieņemt, ja saskaņā ar Valsts izglītības informācijas sistēmas datiem uz 2024. gada 1. septembri vispārējās vidējās izglītības iestādē 10.–12. klašu grupā ir vismaz 60 izglītojamie. Aizputes vidusskolas, Auces vidusskolas, Dagdas vidusskolas, Dundagas vidusskolas, Engures vidusskolas, Jaunpiebalgas vidusskolas, Kārsavas vidusskolas, Kaunatas vidusskolas, Nīcas vidusskolas, Rojas vidusskolas, Rūjienas vidusskolas, Salacgrīvas vidusskolas, Skaistkalnes vidusskolas, Vaiņodes vidusskolas, Viesītes vidusskolas vai Viļakas vidusskolas gadījumā saskaņā ar Valsts izglītības informācijas sistēmas datiem uz 2024. gada 1. septembri vispārējās vidējās izglītības iestādē 10.–12. klašu grupā ir vismaz 30 izglītojamie;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1. pašvaldība ir pieņēmusi lēmumus par ārpus pašvaldības administratīvā centra esošo vispārējās vidējās izglītības iestāžu reorganizāciju. Lēmumu par ārpus pašvaldības administratīvā centra esošas vispārējās vidējās izglītības iestādes reorganizāciju pašvaldība var nepieņemt, ja saskaņā ar Valsts izglītības informācijas sistēmas datiem uz 2024. gada 1. septembri vispārējās vidējās izglītības iestādē 10.–12. klašu grupā ir vismaz 60 izglītojamie. Aizputes vidusskolas, Auces vidusskolas, Dagdas vidusskolas, Dundagas vidusskolas, Engures vidusskolas, Jaunpiebalgas vidusskolas, Kārsavas vidusskolas, Kaunatas vidusskolas, Rojas vidusskolas, Rūjienas vidusskolas, Salacgrīvas vidusskolas, Skaistkalnes vidusskolas, Vaiņodes vidusskolas vai Viesītes vidusskolas gadījumā saskaņā ar Valsts izglītības informācijas sistēmas datiem uz 2024. gada 1. septembri vispārējās vidējās izglītības iestādē 10.–12. klašu grupā ir vismaz 30 izglītojamie;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(RACA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iekļaut Nīcas vidusskolu.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Dienvidkurzemes novads ir teritoriāli lielākais novads. Nevar skatīties attālumu starp Dienvidkurzemes novada vidusskolām, Nīcas vidusskola nodrošina vidējās izglītības pieejamību Rucavas un Dunikas bērniem. No tālākajām apdzīvotajām vietām ir vairāk kā 50 km, un ņemto vērā ceļa tīkla kvalitāti, nepieciešamais laiks pārsniedz 1h. Kā arī Dienvidkurzemes novada pašvaldība norāda uz augstu OCE indeksu attiecībā uz Nīcas vidusskolu.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Lēmumu par ārpus pašvaldības administratīvā centra esošas vispārējās vidējās izglītības iestādes reorganizāciju pašvaldība var nepieņemt, ja saskaņā ar Valsts izglītības informācijas sistēmas datiem uz 2024. gada 1. septembri vispārējās vidējās izglītības iestādē 10.–12. klašu grupā ir vismaz 60 izglītojamie. Aizputes vidusskolas, Auces vidusskolas, Dagdas vidusskolas, Dundagas vidusskolas, Engures vidusskolas, Jaunpiebalgas vidusskolas, Kārsavas vidusskolas, Kaunatas vidusskolas,</w:t>
            </w:r>
            <w:r w:rsidR="00000000" w:rsidRPr="00000000" w:rsidDel="00000000">
              <w:rPr>
                <w:b w:val="1"/>
                <w:rtl w:val="0"/>
              </w:rPr>
              <w:t xml:space="preserve"> Nīcas vidusskola</w:t>
            </w:r>
            <w:r w:rsidR="00000000" w:rsidRPr="00000000" w:rsidDel="00000000">
              <w:rPr>
                <w:rtl w:val="0"/>
              </w:rPr>
              <w:t xml:space="preserve">,  Rojas vidusskolas, Rūjienas vidusskolas, Salacgrīvas vidusskolas, Skaistkalnes vidusskolas, Vaiņodes vidusskolas vai Viesītes vidusskolas gadījumā saskaņā ar Valsts izglītības informācijas sistēmas datiem uz 2024. gada 1. septembri vispārējās vidējās izglītības iestādē 10.–12. klašu grupā ir vismaz 30 izglītojamie;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1. pašvaldība ir pieņēmusi lēmumus par ārpus pašvaldības administratīvā centra esošo vispārējās vidējās izglītības iestāžu reorganizāciju. Lēmumu par ārpus pašvaldības administratīvā centra esošas vispārējās vidējās izglītības iestādes reorganizāciju pašvaldība var nepieņemt, ja saskaņā ar Valsts izglītības informācijas sistēmas datiem uz 2024. gada 1. septembri vispārējās vidējās izglītības iestādē 10.–12. klašu grupā ir vismaz 60 izglītojamie. Aizputes vidusskolas, Auces vidusskolas, Dagdas vidusskolas, Dundagas vidusskolas, Engures vidusskolas, Jaunpiebalgas vidusskolas, Kārsavas vidusskolas, Kaunatas vidusskolas, Nīcas vidusskolas, Rojas vidusskolas, Rūjienas vidusskolas, Salacgrīvas vidusskolas, Skaistkalnes vidusskolas, Vaiņodes vidusskolas, Viesītes vidusskolas vai Viļakas vidusskolas gadījumā saskaņā ar Valsts izglītības informācijas sistēmas datiem uz 2024. gada 1. septembri vispārējās vidējās izglītības iestādē 10.–12. klašu grupā ir vismaz 30 izglītojamie;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1. pašvaldība ir pieņēmusi lēmumus par ārpus pašvaldības administratīvā centra esošo vispārējās vidējās izglītības iestāžu reorganizāciju. Lēmumu par ārpus pašvaldības administratīvā centra esošas vispārējās vidējās izglītības iestādes reorganizāciju pašvaldība var nepieņemt, ja saskaņā ar Valsts izglītības informācijas sistēmas datiem uz 2024. gada 1. septembri vispārējās vidējās izglītības iestādē 10.–12. klašu grupā ir vismaz 60 izglītojamie. Aizputes vidusskolas, Auces vidusskolas, Dagdas vidusskolas, Dundagas vidusskolas, Engures vidusskolas, Jaunpiebalgas vidusskolas, Kārsavas vidusskolas, Kaunatas vidusskolas, Rojas vidusskolas, Rūjienas vidusskolas, Salacgrīvas vidusskolas, Skaistkalnes vidusskolas, Vaiņodes vidusskolas vai Viesītes vidusskolas gadījumā saskaņā ar Valsts izglītības informācijas sistēmas datiem uz 2024. gada 1. septembri vispārējās vidējās izglītības iestādē 10.–12. klašu grupā ir vismaz 30 izglītojamie;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(Dienvidkurzemes novada Izglītības pārvalde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savā izziņā 24-TA-2895 Noteikumu projektā Grozījumi  Ministru kabineta 2022. gada 4. oktobra noteikumos Nr. 619 "Eiropas Savienības Atveseļošanas un noturības mehānisma plāna 3.1.1.5.i investīcijas "Izglītības iestāžu infrastruktūras pilnveide un aprīkošana" īstenošanas noteikumi" ir norādījusi, ka nesaskaņo Dienvidkurzemes novada Izglītības pārvaldes sniegto priekšlikumu un savu pozīciju argumentējusi pirmkārt, Izglītības un zinātnes ministrija  izglītības pieejamības noteikšanā ir ņemta vērā OECD definīcija, kas cita starpā ietver laiku, kas tiek pavadīts ceļā līdz tuvākajai izglītības iestādei, kas piedāvā to pašu izglītības pakāpi (nākamā skola ir sasniedzama vien vairāk nekā 30 min. laikā). Nevienā no sarunām ar Dienvidkurzemes novada pašvaldību,  IZM nav sniegusi OECD dokumentu kopumu, kurš starp citu nav publicēts. Vienlaikus atgādinām, ka joprojām neesam saņēmuši prezentāciju – par algoritmu kā tiek aprēķināts attālums līdz tuvākai izglītības iestādei.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Otrkārt, pretrunas rada investīciju mērķi, norādām, ka Ministru kabineta noteikumos  Nr. 619 “Eiropas Savienības Atveseļošanas un noturības mehānisma plāna 3.1.1.5.i investīcijas "Izglītības iestāžu infrastruktūras pilnveide un aprīkošana" īstenošanas noteikumi" ir izstrādāti balstoties uz Eiropas Parlamenta un Padomes Regulas (ES) 2021/241 (2021. gada 12. februāris), kas saistījās ar COVID-19 seku pārvarēšanu. Eiropas Parlaments pieņemot Padomes Regulu (ES) 2021/241 (2021. gada 12. februāris), preambulas 16.punktā ir norādījusi: “Reformas un investīcijas nākamajā paaudzē, kas vērstas uz bērniem un jauniešiem, ir ļoti svarīgas, lai veicinātu izglītību un prasmes, tostarp digitālās prasmes, aktīvā darbaspēka prasmju pilnveidošanu, jaunu prasmju apgūšanu un pārkvalifikāciju, integrācijas programmas bezdarbniekiem, investīciju politiku, kas bērniem un jauniešiem nodrošina pieejamību un iespējas izglītības, veselības, uztura, nodarbinātības un mājokļu jomā, kā arī politiku, kas ar garantiju bērniem un garantiju jauniešiem palīdzēs novērst plaisu starp paaudzēm. Ar minētajām darbībām būtu jānodrošina, ka Covid-19 krīze neatstāj paliekošu ietekmi uz nākamo eiropiešu paaudzi un ka plaisa starp paaudzēm nekļūst vēl dziļāka.”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regulas mērķis nav slēgt Latvijas vidusskolas. Sākotnēji IZM sarunās bija pieprasījums slēgt lauku vidusskolas zemo mācību rezultātu dēļ. Iepazīstoties ar datiem par Nīcas vidusskolu, OCE indekss ir augsts. Drīzāk otrādi, pat daudzu pilsētas vidusskolu rezultāti ir zemāki. Diemžēl, kopš 2022.gada nav iespējams salīdzināt vidusskolu rezultātus, jo OCE indeksu nav iespējams aprēķināt.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Bijušo Nīcas novadu ir braukuši aplūkot un apjūsmot daudzi Latvijas valsts prezidenti. Viens no būtiskākajiem aspektiem, ko ir atzīmējuši prezidenti, ir Nīcas kultūrtelpa, kura atrodas  Nacionālā nemateriālā kultūras mantojuma saraksta vērtībā kopš 2022. gada. Līgums par Eiropas Savienības dibināšanu ir norādījis, ka ES nodrošina kultūras saglabāšanu. Šo kultūras telpu izdodas uzturēt, lielā mērā pateicoties, ka tajā aktīvi iesaistās Nīcas vidusskola, visvairāk vidusskolas posma audzēkņi.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Dienvidkurzemes novads ir teritoriāli lielākais novads. Nevar skatīties attālumu starp Dienvidkurzemes novada vidusskolām, Nīcas vidusskola nodrošina vidējās izglītības pieejamību Rucavas un Dunikas bērniem. No tālākajām apdzīvotajām vietām ir vairāk kā 50 km, un ņemto vērā ceļa tīkla kvalitāti, nepieciešamais laiks pārsniedz 1h.</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kabinetu noteikumu Nr.606 “Ministru kabineta kārtības rullis” 63.punkts nosaka, ka gadījumos, ja iebildums kas nav ņemts vērā, atbildīgā ministrija novirza projektu atkārtotai saskaņošanai vai sasauc kopīgu starpinstitūciju sanāksmi  informāciju par to norādot TAP portālā vai nosūtot uz atzinuma sniedzēja norādīto e-pasta adresi, ja atzinuma sniedzējs atzinumu sniedzis ārpus TAP portāla atbilstoši šo noteikumu 6 3. punktam. Izglītības un zinātnes ministrija nav aicinājusi uz starpinstitūciju sanāksmi, kaut arī bija norādīti visi kontakti.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nekādā veidā nepieļauj diskrimināciju un nedod pamatu nesniegt un nepiešķirt līdzekļus reorganizētai Priekules vidusskolai un sodīt tos bērnus, ka pašvaldība kompleksi skatās uz teritorijas attīstību, kā arī ir argumenti Nīcas vidusskolas saglabāšanai, bet tos  neparedz neviens no Eiropas tiesību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mērķis nav sakārtot Latvijas izglītības skolu tīklu, bet slēgt skolas lauku apvidos, tādejādi tās parāda  ATR negatīvās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Lēmumu par ārpus pašvaldības administratīvā centra esošas vispārējās vidējās izglītības iestādes reorganizāciju pašvaldība var nepieņemt, ja saskaņā ar Valsts izglītības informācijas sistēmas datiem uz 2024. gada 1. septembri vispārējās vidējās izglītības iestādē 10.–12. klašu grupā ir vismaz 60 izglītojamie. Aizputes vidusskolas, Auces vidusskolas, Dagdas vidusskolas, Dundagas vidusskolas, Engures vidusskolas, Jaunpiebalgas vidusskolas, Kārsavas vidusskolas, Kaunatas vidusskolas, </w:t>
            </w:r>
            <w:r w:rsidR="00000000" w:rsidRPr="00000000" w:rsidDel="00000000">
              <w:rPr>
                <w:b w:val="1"/>
                <w:rtl w:val="0"/>
              </w:rPr>
              <w:t xml:space="preserve">Nīcas vidusskola,</w:t>
            </w:r>
            <w:r w:rsidR="00000000" w:rsidRPr="00000000" w:rsidDel="00000000">
              <w:rPr>
                <w:rtl w:val="0"/>
              </w:rPr>
              <w:t xml:space="preserve">  Rojas vidusskolas, Rūjienas vidusskolas, Salacgrīvas vidusskolas, Skaistkalnes vidusskolas, Vaiņodes vidusskolas vai Viesītes vidusskolas gadījumā saskaņā ar Valsts izglītības informācijas sistēmas datiem uz 2024. gada 1. septembri vispārējās vidējās izglītības iestādē 10.–12. klašu grupā ir vismaz 30 izglītojamie;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1. pašvaldība ir pieņēmusi lēmumus par ārpus pašvaldības administratīvā centra esošo vispārējās vidējās izglītības iestāžu reorganizāciju. Lēmumu par ārpus pašvaldības administratīvā centra esošas vispārējās vidējās izglītības iestādes reorganizāciju pašvaldība var nepieņemt, ja saskaņā ar Valsts izglītības informācijas sistēmas datiem uz 2024. gada 1. septembri vispārējās vidējās izglītības iestādē 10.–12. klašu grupā ir vismaz 60 izglītojamie. Aizputes vidusskolas, Auces vidusskolas, Dagdas vidusskolas, Dundagas vidusskolas, Engures vidusskolas, Jaunpiebalgas vidusskolas, Kārsavas vidusskolas, Kaunatas vidusskolas, Nīcas vidusskolas, Rojas vidusskolas, Rūjienas vidusskolas, Salacgrīvas vidusskolas, Skaistkalnes vidusskolas, Vaiņodes vidusskolas, Viesītes vidusskolas vai Viļakas vidusskolas gadījumā saskaņā ar Valsts izglītības informācijas sistēmas datiem uz 2024. gada 1. septembri vispārējās vidējās izglītības iestādē 10.–12. klašu grupā ir vismaz 30 izglītojamie;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1. pašvaldība ir pieņēmusi lēmumus par ārpus pašvaldības administratīvā centra esošo vispārējās vidējās izglītības iestāžu reorganizāciju. Lēmumu par ārpus pašvaldības administratīvā centra esošas vispārējās vidējās izglītības iestādes reorganizāciju pašvaldība var nepieņemt, ja saskaņā ar Valsts izglītības informācijas sistēmas datiem uz 2024. gada 1. septembri vispārējās vidējās izglītības iestādē 10.–12. klašu grupā ir vismaz 60 izglītojamie. Aizputes vidusskolas, Aknīstes vidusskolas, Auces vidusskolas, Dagdas vidusskolas, Dundagas vidusskolas, Engures vidusskolas, Jaunpiebalgas vidusskolas, Kārsavas vidusskolas, Kaunatas vidusskolas, Rojas vidusskolas, Rūjienas vidusskolas, Salacgrīvas vidusskolas, Skaistkalnes vidusskolas vai Vaiņodes vidusskolas gadījumā saskaņā ar Valsts izglītības informācijas sistēmas datiem uz 2024. gada 1. septembri vispārējās vidējās izglītības iestādē 10.–12. klašu grupā ir vismaz 30 izglītojamie;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Jēkabpils novada pašvaldības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Aknīstes vidusskola tiek aizstāta ar Viesītes vidusskolu.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11.21.  pašvaldība ir pieņēmusi lēmumus par ārpus pašvaldības administratīvā centra esošo vispārējās vidējās izglītības iestāžu reorganizāciju. Lēmumu par ārpus pašvaldības administratīvā centra esošas vispārējās vidējās izglītības iestādes reorganizāciju pašvaldība var nepieņemt, ja saskaņā ar Valsts izglītības informācijas sistēmas datiem uz 2024. gada 1. septembri vispārējās vidējās izglītības iestādē 10.–12. klašu grupā ir vismaz 60 izglītojamie. Aizputes vidusskolas, Viesītes vidusskolas, Auces vidusskolas, Dagdas vidusskolas, Dundagas vidusskolas, Engures vidusskolas, Jaunpiebalgas vidusskolas, Kārsavas vidusskolas, Kaunatas vidusskolas, Rojas vidusskolas, Rūjienas vidusskolas, Salacgrīvas vidusskolas, Skaistkalnes vidusskolas vai Vaiņodes vidusskolas gadījumā saskaņā ar Valsts izglītības informācijas sistēmas datiem uz 2024. gada 1. septembri vispārējās vidējās izglītības iestādē 10.–12. klašu grupā ir vismaz 30 izglītojamie;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1. pašvaldība ir pieņēmusi lēmumus par ārpus pašvaldības administratīvā centra esošo vispārējās vidējās izglītības iestāžu reorganizāciju. Lēmumu par ārpus pašvaldības administratīvā centra esošas vispārējās vidējās izglītības iestādes reorganizāciju pašvaldība var nepieņemt, ja saskaņā ar Valsts izglītības informācijas sistēmas datiem uz 2024. gada 1. septembri vispārējās vidējās izglītības iestādē 10.–12. klašu grupā ir vismaz 60 izglītojamie. Aizputes vidusskolas, Auces vidusskolas, Dagdas vidusskolas, Dundagas vidusskolas, Engures vidusskolas, Jaunpiebalgas vidusskolas, Kārsavas vidusskolas, Kaunatas vidusskolas, Nīcas vidusskolas, Rojas vidusskolas, Rūjienas vidusskolas, Salacgrīvas vidusskolas, Skaistkalnes vidusskolas, Vaiņodes vidusskolas, Viesītes vidusskolas vai Viļakas vidusskolas gadījumā saskaņā ar Valsts izglītības informācijas sistēmas datiem uz 2024. gada 1. septembri vispārējās vidējās izglītības iestādē 10.–12. klašu grupā ir vismaz 30 izglītojamie;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3. tai pēdējos piecos gados ir stabila pozitīva izglītojamo skaita dinamika 1.–6. klašu grupā.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(RACA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trešajā atlases kārtā izskatīt iespēju mīkstināt nosacījumus, tajā skaitā samazināt termiņu, kurā tiek skatīta pozitīva izglītojamo skaita dinamika - no pieciem uz trīs gadiem, jo arī šāds termiņš ir pietiekami ilgs, lai atspoguļotu kopējo tendenci.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šo nav iespējams realizēt visiem, tad rosinām izskatīt iespēju noteikt samazinātu obligāto minimālo dinamiku Latgales reģiona pašvaldībām. Šāds lūgums pamatojams ar nepieciešamību investīciju apguvi aptvert visu Latvijas teritoriju. Vēršam uzmanību, ka video novērošanas sistēmu un drošas iekļuves ēkā kontroles sistēmu izbūves un pārbūves izmaksas ir būtiskas katrā izglītības iestādē, bet īpašu interesi par šo pozīciju līdz šim izrādījušas Austrumu pierobežas pašvaldības.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 pēdējos trīs gados ir stabila pozitīva izglītojamo skaita dinamika 1.–6. klašu grupā.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priekšlikums netiek ņemts vērā, lai nodrošinātu vienādu regulējumu visām Atveseļošanas fonda 3.1.1.5.i projektu iesniedzēju priekšatlases kārtām.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Sākotnēji apstiprinot noteikumus par Atveseļošanas fonda 3.1.1.5.i  investīciju, to anotācijā tika noteikts, ka vērtējot atbilstību šim nosacījumam, tiks pieļauts, ka izglītojamo skaits iepriekšējos piecos gados (pirms projekta iesnieguma iesniegšanas) var svārstīties, tai skaitā kādā no gadiem var būt izglītojamo skaita samazinājums minētajā grupā. Kopumā izglītojamo skaita dinamika nedrīkst liecināt par riskiem 3.1.1.5. investīcijas projekta ilgtspējai nepietiekama izglītojamo skaita dēļ.</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3. tai pēdējos piecos gados ir stabila pozitīva izglītojamo skaita dinamika 1.–6. klašu grupā.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w:t>
            </w:r>
            <w:r w:rsidR="00000000" w:rsidRPr="00000000" w:rsidDel="00000000">
              <w:rPr>
                <w:vertAlign w:val="superscript"/>
                <w:rtl w:val="0"/>
              </w:rPr>
              <w:t xml:space="preserve">1</w:t>
            </w:r>
            <w:r w:rsidR="00000000" w:rsidRPr="00000000" w:rsidDel="00000000">
              <w:rPr>
                <w:rtl w:val="0"/>
              </w:rPr>
              <w:t xml:space="preserve"> vispārējās izglītības iestādes sporta laukuma, sporta zāles un to iekštelpu ģērbtuvju ar dušas telpām pārbūves, atjaunošanas un aprīkošanas izmaksas, kas nepārsniedz 20 procentus no projekta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13. punktā vai tā anotācijā skaidrot, kas ir domāts ar projekta izmaksām, proti, attiecināmās izmaksas vai projekta kopējās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projekta 13. punktu tiek papildināts noteikumu 22. punktā jau iepriekš noteiktais par 3.1.1.5. investīcijas projektu attiecināmo izmaksu saraksts.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arī minēts anotācijā - tiek precizēts un papildināts arī attiecināmo izmaksu saraksts.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w:t>
            </w:r>
            <w:r w:rsidR="00000000" w:rsidRPr="00000000" w:rsidDel="00000000">
              <w:rPr>
                <w:vertAlign w:val="superscript"/>
                <w:rtl w:val="0"/>
              </w:rPr>
              <w:t xml:space="preserve">1</w:t>
            </w:r>
            <w:r w:rsidR="00000000" w:rsidRPr="00000000" w:rsidDel="00000000">
              <w:rPr>
                <w:rtl w:val="0"/>
              </w:rPr>
              <w:t xml:space="preserve"> vispārējās izglītības iestādes sporta laukuma, sporta zāles un to iekštelpu ģērbtuvju ar dušas telpām pārbūves, atjaunošanas un aprīkošanas izmaksas, kas nepārsniedz 20 procentus no projekta izmaksām;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24-TA-2895</w:t>
    </w:r>
    <w:r>
      <w:br/>
    </w:r>
    <w:r w:rsidR="00000000" w:rsidRPr="00000000" w:rsidDel="00000000">
      <w:rPr>
        <w:rtl w:val="0"/>
      </w:rPr>
      <w:t xml:space="preserve">17.01.2025. 18.22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24-TA-2895</w:t>
    </w:r>
    <w:r>
      <w:br/>
    </w:r>
    <w:r w:rsidR="00000000" w:rsidRPr="00000000" w:rsidDel="00000000">
      <w:rPr>
        <w:rtl w:val="0"/>
      </w:rPr>
      <w:t xml:space="preserve">17.01.2025. 18.22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Izziņa_24-TA-2895.docx</dc:title>
</cp:coreProperties>
</file>

<file path=docProps/custom.xml><?xml version="1.0" encoding="utf-8"?>
<Properties xmlns="http://schemas.openxmlformats.org/officeDocument/2006/custom-properties" xmlns:vt="http://schemas.openxmlformats.org/officeDocument/2006/docPropsVTypes"/>
</file>