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drawings/drawing1.xml" ContentType="application/vnd.openxmlformats-officedocument.drawingml.chartshapes+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drawings/drawing2.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32D8EA" w14:textId="5C221A62" w:rsidR="00094180" w:rsidRDefault="00094180" w:rsidP="009708BB">
      <w:pPr>
        <w:pStyle w:val="H2"/>
        <w:tabs>
          <w:tab w:val="center" w:pos="4535"/>
          <w:tab w:val="left" w:pos="8250"/>
        </w:tabs>
        <w:spacing w:after="360"/>
      </w:pPr>
      <w:r w:rsidRPr="00DD3C60">
        <w:t xml:space="preserve">5.3. </w:t>
      </w:r>
      <w:bookmarkStart w:id="0" w:name="_Hlk84663571"/>
      <w:r w:rsidR="00902810" w:rsidRPr="00902810">
        <w:t>Izdevumu politikas virzienu un izdevumu atbilstoši funkcionālajām un ekonomiskajām kategorijām kopsavilkums</w:t>
      </w:r>
      <w:bookmarkEnd w:id="0"/>
    </w:p>
    <w:p w14:paraId="02696A9E" w14:textId="77777777" w:rsidR="004D417B" w:rsidRPr="00A04B24" w:rsidRDefault="004D417B" w:rsidP="004D417B">
      <w:pPr>
        <w:spacing w:after="0"/>
        <w:ind w:firstLine="720"/>
      </w:pPr>
      <w:r w:rsidRPr="00A04B24">
        <w:rPr>
          <w:b/>
        </w:rPr>
        <w:t>Valsts budžeta izdevumi</w:t>
      </w:r>
      <w:r w:rsidRPr="00A04B24">
        <w:t xml:space="preserve"> 2025. gadā plānoti </w:t>
      </w:r>
      <w:r w:rsidRPr="0008398B">
        <w:t>17 0</w:t>
      </w:r>
      <w:r>
        <w:t>93</w:t>
      </w:r>
      <w:r w:rsidRPr="0008398B">
        <w:t>,</w:t>
      </w:r>
      <w:r>
        <w:t>4</w:t>
      </w:r>
      <w:r w:rsidRPr="00A04B24">
        <w:t xml:space="preserve"> milj. </w:t>
      </w:r>
      <w:proofErr w:type="spellStart"/>
      <w:r w:rsidRPr="00A04B24">
        <w:rPr>
          <w:i/>
        </w:rPr>
        <w:t>euro</w:t>
      </w:r>
      <w:proofErr w:type="spellEnd"/>
      <w:r w:rsidRPr="00A04B24">
        <w:t xml:space="preserve"> apmērā. Izdevumu palielinājums, salīdzinot ar 2024. gada plānu, ir 5,</w:t>
      </w:r>
      <w:r>
        <w:t>4</w:t>
      </w:r>
      <w:r w:rsidRPr="00A04B24">
        <w:t xml:space="preserve">% jeb </w:t>
      </w:r>
      <w:r w:rsidRPr="0008398B">
        <w:t>8</w:t>
      </w:r>
      <w:r>
        <w:t>76</w:t>
      </w:r>
      <w:r w:rsidRPr="0008398B">
        <w:t>,</w:t>
      </w:r>
      <w:r>
        <w:t>5</w:t>
      </w:r>
      <w:r w:rsidRPr="00A04B24">
        <w:t xml:space="preserve"> milj. </w:t>
      </w:r>
      <w:proofErr w:type="spellStart"/>
      <w:r w:rsidRPr="00A04B24">
        <w:rPr>
          <w:i/>
        </w:rPr>
        <w:t>euro</w:t>
      </w:r>
      <w:proofErr w:type="spellEnd"/>
      <w:r w:rsidRPr="00A04B24">
        <w:t>.</w:t>
      </w:r>
    </w:p>
    <w:p w14:paraId="212BEABE" w14:textId="77777777" w:rsidR="004D417B" w:rsidRPr="001E7879" w:rsidRDefault="004D417B" w:rsidP="004D417B">
      <w:pPr>
        <w:spacing w:before="120" w:after="240"/>
        <w:ind w:firstLine="0"/>
        <w:jc w:val="center"/>
        <w:rPr>
          <w:b/>
          <w:i/>
        </w:rPr>
      </w:pPr>
      <w:r w:rsidRPr="00796BE7">
        <w:rPr>
          <w:b/>
          <w:i/>
        </w:rPr>
        <w:t>5.</w:t>
      </w:r>
      <w:r>
        <w:rPr>
          <w:b/>
          <w:i/>
        </w:rPr>
        <w:t>1</w:t>
      </w:r>
      <w:r w:rsidRPr="00796BE7">
        <w:rPr>
          <w:b/>
          <w:i/>
        </w:rPr>
        <w:t>.</w:t>
      </w:r>
      <w:r>
        <w:rPr>
          <w:b/>
          <w:i/>
        </w:rPr>
        <w:t xml:space="preserve"> </w:t>
      </w:r>
      <w:r w:rsidRPr="00796BE7">
        <w:rPr>
          <w:b/>
          <w:i/>
        </w:rPr>
        <w:t>attēls</w:t>
      </w:r>
      <w:r w:rsidRPr="00C25F3A">
        <w:rPr>
          <w:b/>
          <w:i/>
        </w:rPr>
        <w:t xml:space="preserve"> </w:t>
      </w:r>
      <w:r w:rsidRPr="00796BE7">
        <w:rPr>
          <w:b/>
        </w:rPr>
        <w:t>Valsts budžeta izdevumi atbilstoši funkcionālajām kategorijām no 202</w:t>
      </w:r>
      <w:r>
        <w:rPr>
          <w:b/>
        </w:rPr>
        <w:t>4</w:t>
      </w:r>
      <w:r w:rsidRPr="00796BE7">
        <w:rPr>
          <w:b/>
        </w:rPr>
        <w:t>. līdz 202</w:t>
      </w:r>
      <w:r>
        <w:rPr>
          <w:b/>
        </w:rPr>
        <w:t>7</w:t>
      </w:r>
      <w:r w:rsidRPr="00796BE7">
        <w:rPr>
          <w:b/>
        </w:rPr>
        <w:t>.</w:t>
      </w:r>
      <w:r>
        <w:rPr>
          <w:b/>
        </w:rPr>
        <w:t xml:space="preserve"> </w:t>
      </w:r>
      <w:r w:rsidRPr="00796BE7">
        <w:rPr>
          <w:b/>
        </w:rPr>
        <w:t>gadam, milj.</w:t>
      </w:r>
      <w:r w:rsidRPr="00AD4223">
        <w:rPr>
          <w:b/>
          <w:i/>
        </w:rPr>
        <w:t xml:space="preserve"> </w:t>
      </w:r>
      <w:proofErr w:type="spellStart"/>
      <w:r w:rsidRPr="00AD4223">
        <w:rPr>
          <w:b/>
          <w:i/>
        </w:rPr>
        <w:t>euro</w:t>
      </w:r>
      <w:proofErr w:type="spellEnd"/>
    </w:p>
    <w:p w14:paraId="2CD94F79" w14:textId="77777777" w:rsidR="004D417B" w:rsidRDefault="004D417B" w:rsidP="004D417B">
      <w:pPr>
        <w:ind w:right="28" w:firstLine="0"/>
        <w:jc w:val="left"/>
        <w:rPr>
          <w:i/>
        </w:rPr>
      </w:pPr>
      <w:r>
        <w:rPr>
          <w:noProof/>
          <w:lang w:eastAsia="lv-LV"/>
        </w:rPr>
        <w:drawing>
          <wp:inline distT="0" distB="0" distL="0" distR="0" wp14:anchorId="3733EF3D" wp14:editId="006555C4">
            <wp:extent cx="5753100" cy="3419475"/>
            <wp:effectExtent l="0" t="0" r="0" b="9525"/>
            <wp:docPr id="908291979" name="Chart 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7CA9446" w14:textId="77777777" w:rsidR="004D417B" w:rsidRPr="003740C3" w:rsidRDefault="004D417B" w:rsidP="004D417B">
      <w:pPr>
        <w:ind w:right="28" w:firstLine="720"/>
      </w:pPr>
      <w:r w:rsidRPr="003740C3">
        <w:rPr>
          <w:i/>
        </w:rPr>
        <w:t xml:space="preserve">Saskaņā ar izdevumu klasifikāciju atbilstoši funkcionālajām kategorijām </w:t>
      </w:r>
      <w:r w:rsidRPr="003740C3">
        <w:t>202</w:t>
      </w:r>
      <w:r>
        <w:t>5</w:t>
      </w:r>
      <w:r w:rsidRPr="003740C3">
        <w:t>. gadā no kopējiem valsts budžeta izdevumiem novirzīti:</w:t>
      </w:r>
    </w:p>
    <w:p w14:paraId="21A70791" w14:textId="77777777" w:rsidR="004D417B" w:rsidRPr="0084775E" w:rsidRDefault="004D417B" w:rsidP="004D417B">
      <w:pPr>
        <w:ind w:firstLine="720"/>
        <w:rPr>
          <w:lang w:eastAsia="lv-LV"/>
        </w:rPr>
      </w:pPr>
      <w:r w:rsidRPr="00AA33BE">
        <w:rPr>
          <w:i/>
        </w:rPr>
        <w:t xml:space="preserve">vispārējiem valdības dienestiem </w:t>
      </w:r>
      <w:r w:rsidRPr="008A15DA">
        <w:rPr>
          <w:iCs/>
        </w:rPr>
        <w:t>2 135,4</w:t>
      </w:r>
      <w:r w:rsidRPr="0008398B">
        <w:rPr>
          <w:iCs/>
        </w:rPr>
        <w:t xml:space="preserve"> </w:t>
      </w:r>
      <w:r w:rsidRPr="00AA33BE">
        <w:t xml:space="preserve">milj. </w:t>
      </w:r>
      <w:proofErr w:type="spellStart"/>
      <w:r w:rsidRPr="00AA33BE">
        <w:rPr>
          <w:i/>
        </w:rPr>
        <w:t>euro</w:t>
      </w:r>
      <w:proofErr w:type="spellEnd"/>
      <w:r w:rsidRPr="00AA33BE">
        <w:rPr>
          <w:i/>
        </w:rPr>
        <w:t xml:space="preserve"> </w:t>
      </w:r>
      <w:r w:rsidRPr="00AA33BE">
        <w:t>jeb</w:t>
      </w:r>
      <w:r w:rsidRPr="00AA33BE">
        <w:rPr>
          <w:i/>
        </w:rPr>
        <w:t xml:space="preserve"> </w:t>
      </w:r>
      <w:r w:rsidRPr="00AA33BE">
        <w:t>12,</w:t>
      </w:r>
      <w:r>
        <w:t>5</w:t>
      </w:r>
      <w:r w:rsidRPr="00AA33BE">
        <w:t>%, kas salīdzinājumā ar 202</w:t>
      </w:r>
      <w:r>
        <w:t>4</w:t>
      </w:r>
      <w:r w:rsidRPr="00AA33BE">
        <w:t xml:space="preserve">. gadā plānoto ir par </w:t>
      </w:r>
      <w:r>
        <w:t>196,3</w:t>
      </w:r>
      <w:r w:rsidRPr="00AA33BE">
        <w:t xml:space="preserve"> milj. </w:t>
      </w:r>
      <w:proofErr w:type="spellStart"/>
      <w:r w:rsidRPr="00AA33BE">
        <w:rPr>
          <w:i/>
        </w:rPr>
        <w:t>euro</w:t>
      </w:r>
      <w:proofErr w:type="spellEnd"/>
      <w:r w:rsidRPr="00AA33BE">
        <w:t xml:space="preserve"> jeb </w:t>
      </w:r>
      <w:r>
        <w:t>10,1</w:t>
      </w:r>
      <w:r w:rsidRPr="00AA33BE">
        <w:t xml:space="preserve">% vairāk. </w:t>
      </w:r>
      <w:r w:rsidRPr="00F40AEE">
        <w:t>Izdevumu palielinājums saistīts ar izdevumu pieaugumu valsts parāda vadībai</w:t>
      </w:r>
      <w:r w:rsidRPr="00D458E7">
        <w:t xml:space="preserve">, </w:t>
      </w:r>
      <w:r>
        <w:t xml:space="preserve">dotācijai pašvaldību autonomo funkciju izpildei saistībā ar nodokļu politikas izmaiņām starp pašvaldību budžetiem un valsts budžetu (22%/78%), </w:t>
      </w:r>
      <w:r w:rsidRPr="00221350">
        <w:t>grāmatvedības funkcijas centralizācij</w:t>
      </w:r>
      <w:r>
        <w:t>as nodrošināšanai</w:t>
      </w:r>
      <w:r w:rsidRPr="00221350">
        <w:t xml:space="preserve"> Valsts kasē</w:t>
      </w:r>
      <w:r>
        <w:t>, pārņemot finansējumu no citiem resoriem,</w:t>
      </w:r>
      <w:r w:rsidRPr="00221350">
        <w:t xml:space="preserve"> </w:t>
      </w:r>
      <w:r w:rsidRPr="00AA01CA">
        <w:t>VID analītisko rīku (SAP HANA) uzturēšanai un attīstībai</w:t>
      </w:r>
      <w:r>
        <w:t xml:space="preserve">, </w:t>
      </w:r>
      <w:r w:rsidRPr="00AA01CA">
        <w:t>finansējumu atbalsta</w:t>
      </w:r>
      <w:r>
        <w:t xml:space="preserve"> </w:t>
      </w:r>
      <w:r w:rsidRPr="00AA01CA">
        <w:t>izmaksai hipotekārā kredīta ņēmējiem</w:t>
      </w:r>
      <w:r>
        <w:t>,</w:t>
      </w:r>
      <w:r w:rsidRPr="00AA01CA">
        <w:t xml:space="preserve"> </w:t>
      </w:r>
      <w:r w:rsidRPr="00221350">
        <w:t xml:space="preserve">Valsts ieņēmumu dienesta Nodokļu un muitas policijas pārvaldes </w:t>
      </w:r>
      <w:r w:rsidRPr="00221350">
        <w:rPr>
          <w:szCs w:val="18"/>
          <w:lang w:eastAsia="lv-LV"/>
        </w:rPr>
        <w:t>atalgojuma palielināšanai par 10% un jaunās piemaksas ieviešanai par darbu dienestā,</w:t>
      </w:r>
      <w:r>
        <w:rPr>
          <w:szCs w:val="18"/>
          <w:lang w:eastAsia="lv-LV"/>
        </w:rPr>
        <w:t xml:space="preserve"> </w:t>
      </w:r>
      <w:r>
        <w:t>Krīzes vadības centra kapacitātes nodrošināšanai, Latvijas obligāto iemaksu daļu Eiropas Miera mehānismā nodrošināšanai, Latvijas Republikas pastāvīgās pārstāvniecības ANO, Ņujorkā darbības nepārtrauktības nodrošināšanai,</w:t>
      </w:r>
      <w:r w:rsidRPr="00D458E7">
        <w:rPr>
          <w:rFonts w:eastAsia="Calibri"/>
          <w:bCs/>
          <w:szCs w:val="24"/>
        </w:rPr>
        <w:t xml:space="preserve"> </w:t>
      </w:r>
      <w:r w:rsidRPr="00F40AEE">
        <w:rPr>
          <w:rFonts w:eastAsia="Calibri"/>
          <w:bCs/>
          <w:szCs w:val="24"/>
        </w:rPr>
        <w:t xml:space="preserve">Valsts kontroles kapacitātes stiprināšanai publiskā sektora revīzijās, stiprinot </w:t>
      </w:r>
      <w:proofErr w:type="spellStart"/>
      <w:r w:rsidRPr="00F40AEE">
        <w:rPr>
          <w:rFonts w:eastAsia="Calibri"/>
          <w:bCs/>
          <w:szCs w:val="24"/>
        </w:rPr>
        <w:t>cilvēkkapitālu</w:t>
      </w:r>
      <w:proofErr w:type="spellEnd"/>
      <w:r>
        <w:t xml:space="preserve"> un attīstot informācijas tehnoloģijas, </w:t>
      </w:r>
      <w:proofErr w:type="spellStart"/>
      <w:r>
        <w:t>Tiesībsarga</w:t>
      </w:r>
      <w:proofErr w:type="spellEnd"/>
      <w:r>
        <w:t xml:space="preserve"> birojam mākslīgā intelekta akta tiesiskā regulējuma ieviešanai, </w:t>
      </w:r>
      <w:r w:rsidRPr="00D458E7">
        <w:t>z</w:t>
      </w:r>
      <w:r w:rsidRPr="00D458E7">
        <w:rPr>
          <w:szCs w:val="24"/>
          <w:lang w:eastAsia="lv-LV"/>
        </w:rPr>
        <w:t>inātnes bāzes finansējuma</w:t>
      </w:r>
      <w:r>
        <w:rPr>
          <w:szCs w:val="24"/>
          <w:lang w:eastAsia="lv-LV"/>
        </w:rPr>
        <w:t xml:space="preserve"> pieaugumam</w:t>
      </w:r>
      <w:r w:rsidRPr="0084775E">
        <w:rPr>
          <w:lang w:eastAsia="lv-LV"/>
        </w:rPr>
        <w:t xml:space="preserve">. </w:t>
      </w:r>
      <w:r w:rsidRPr="0084775E">
        <w:rPr>
          <w:rFonts w:eastAsia="Calibri"/>
          <w:bCs/>
          <w:iCs/>
          <w:szCs w:val="24"/>
        </w:rPr>
        <w:t xml:space="preserve">Uz funkciju “Vispārējie valdības dienesti” attiecināts arī budžeta resora “74.Gadskārtējā valsts budžeta izpildes procesā pārdalāmais finansējums” (turpmāk – budžeta 74. resors) 01.00.00 programmā “Apropriācijas rezerve”, 02.00.00 programmā “Līdzekļi neparedzētiem gadījumiem”, 04.00.00 programmā “Latvijas prezidentūras Eiropas Savienības Padomē nodrošināšana”, 09.00.00 programmā “Valsts </w:t>
      </w:r>
      <w:r w:rsidRPr="0084775E">
        <w:rPr>
          <w:rFonts w:eastAsia="Calibri"/>
          <w:bCs/>
          <w:iCs/>
          <w:szCs w:val="24"/>
        </w:rPr>
        <w:lastRenderedPageBreak/>
        <w:t xml:space="preserve">nozīmes reformas īstenošanai”, 17.00.00 programmā “Finansējums Ukrainas civiliedzīvotāju atbalsta likumā noteikto pasākumu īstenošanai”, 21.00.00 programmā “Finansējums vēlēšanu nodrošināšanai” plānotais finansējums </w:t>
      </w:r>
      <w:r w:rsidRPr="0084775E">
        <w:rPr>
          <w:bCs/>
          <w:szCs w:val="24"/>
        </w:rPr>
        <w:t>u.c.</w:t>
      </w:r>
      <w:r w:rsidRPr="0084775E">
        <w:rPr>
          <w:bCs/>
          <w:szCs w:val="24"/>
          <w:lang w:eastAsia="lv-LV"/>
        </w:rPr>
        <w:t>;</w:t>
      </w:r>
      <w:r w:rsidRPr="0084775E">
        <w:rPr>
          <w:bCs/>
          <w:szCs w:val="24"/>
        </w:rPr>
        <w:t xml:space="preserve"> </w:t>
      </w:r>
    </w:p>
    <w:p w14:paraId="1FD9F9C1" w14:textId="77777777" w:rsidR="004D417B" w:rsidRPr="007876A4" w:rsidRDefault="004D417B" w:rsidP="004D417B">
      <w:pPr>
        <w:ind w:firstLine="720"/>
        <w:rPr>
          <w:szCs w:val="24"/>
        </w:rPr>
      </w:pPr>
      <w:r w:rsidRPr="00C148A2">
        <w:rPr>
          <w:i/>
        </w:rPr>
        <w:t xml:space="preserve">aizsardzībai </w:t>
      </w:r>
      <w:r w:rsidRPr="00C148A2">
        <w:t xml:space="preserve">1 758,5 milj. </w:t>
      </w:r>
      <w:proofErr w:type="spellStart"/>
      <w:r w:rsidRPr="00C148A2">
        <w:rPr>
          <w:i/>
        </w:rPr>
        <w:t>euro</w:t>
      </w:r>
      <w:proofErr w:type="spellEnd"/>
      <w:r w:rsidRPr="00C148A2">
        <w:rPr>
          <w:i/>
        </w:rPr>
        <w:t xml:space="preserve"> </w:t>
      </w:r>
      <w:r w:rsidRPr="00C148A2">
        <w:t>jeb</w:t>
      </w:r>
      <w:r>
        <w:t xml:space="preserve"> 10,3</w:t>
      </w:r>
      <w:r w:rsidRPr="00C148A2">
        <w:t>%, kas salīdzinājumā ar 202</w:t>
      </w:r>
      <w:r>
        <w:t>4</w:t>
      </w:r>
      <w:r w:rsidRPr="00C148A2">
        <w:t xml:space="preserve">. gadā plānoto ir par 256,5 milj. </w:t>
      </w:r>
      <w:proofErr w:type="spellStart"/>
      <w:r w:rsidRPr="00C148A2">
        <w:rPr>
          <w:i/>
        </w:rPr>
        <w:t>euro</w:t>
      </w:r>
      <w:proofErr w:type="spellEnd"/>
      <w:r w:rsidRPr="00C148A2">
        <w:t xml:space="preserve"> jeb 17,</w:t>
      </w:r>
      <w:r>
        <w:t>1</w:t>
      </w:r>
      <w:r w:rsidRPr="00C148A2">
        <w:t xml:space="preserve">% vairāk. </w:t>
      </w:r>
      <w:r w:rsidRPr="007876A4">
        <w:rPr>
          <w:szCs w:val="24"/>
          <w:lang w:eastAsia="lv-LV"/>
        </w:rPr>
        <w:t xml:space="preserve">Palielināti izdevumi, nodrošinot pakāpenisku </w:t>
      </w:r>
      <w:r w:rsidRPr="00503850">
        <w:rPr>
          <w:szCs w:val="24"/>
          <w:lang w:eastAsia="lv-LV"/>
        </w:rPr>
        <w:t xml:space="preserve">Aizsardzības ministrijas budžeta izdevumu apjoma palielinājumu līdz 3,7% no IKP 2026. gadā (3,5% no IKP 2025. gadā un 3,7% no IKP 2026. gadā </w:t>
      </w:r>
      <w:r>
        <w:rPr>
          <w:szCs w:val="24"/>
          <w:lang w:eastAsia="lv-LV"/>
        </w:rPr>
        <w:t xml:space="preserve">un </w:t>
      </w:r>
      <w:r w:rsidRPr="00503850">
        <w:rPr>
          <w:szCs w:val="24"/>
          <w:lang w:eastAsia="lv-LV"/>
        </w:rPr>
        <w:t>2027. gadā)</w:t>
      </w:r>
      <w:r w:rsidRPr="007876A4">
        <w:rPr>
          <w:szCs w:val="24"/>
          <w:lang w:eastAsia="lv-LV"/>
        </w:rPr>
        <w:t>. Paredzēts papildu finansējums Satversmes aizsardzības biroja darbības nodrošināšanai, atbalstam Ukrainai (atbilstoši noslēgtajam līgumam par militāro atbalstu), munīcijas krājumu papildināšanai un individuālā ekipējuma nodrošināšanai, papildu radaru iegādei vēja parku attīstībai</w:t>
      </w:r>
      <w:r>
        <w:rPr>
          <w:szCs w:val="24"/>
          <w:lang w:eastAsia="lv-LV"/>
        </w:rPr>
        <w:t>.</w:t>
      </w:r>
      <w:r w:rsidRPr="007876A4">
        <w:rPr>
          <w:szCs w:val="24"/>
          <w:lang w:eastAsia="lv-LV"/>
        </w:rPr>
        <w:t xml:space="preserve"> Uz funkciju “Aizsardzība” attiecinātais budžeta 74. resora 18.00.00 programmā “Finansējums valsts drošības stiprināšanas pasākumiem” plānotais finansējums daļēji paredzēts arī ar valsts iekšējo drošību saistītiem pasākumiem</w:t>
      </w:r>
      <w:r w:rsidRPr="007876A4">
        <w:rPr>
          <w:szCs w:val="24"/>
        </w:rPr>
        <w:t xml:space="preserve">; </w:t>
      </w:r>
    </w:p>
    <w:p w14:paraId="084F1DCF" w14:textId="77777777" w:rsidR="004D417B" w:rsidRPr="00D50665" w:rsidRDefault="004D417B" w:rsidP="004D417B">
      <w:pPr>
        <w:ind w:firstLine="720"/>
        <w:rPr>
          <w:szCs w:val="18"/>
          <w:lang w:eastAsia="lv-LV"/>
        </w:rPr>
      </w:pPr>
      <w:r w:rsidRPr="00D213AE">
        <w:rPr>
          <w:i/>
        </w:rPr>
        <w:t>sabiedriskai kārtībai un drošībai</w:t>
      </w:r>
      <w:r w:rsidRPr="00D213AE">
        <w:t xml:space="preserve"> 1 134,5 milj. </w:t>
      </w:r>
      <w:proofErr w:type="spellStart"/>
      <w:r w:rsidRPr="00D213AE">
        <w:rPr>
          <w:i/>
        </w:rPr>
        <w:t>euro</w:t>
      </w:r>
      <w:proofErr w:type="spellEnd"/>
      <w:r w:rsidRPr="00D213AE">
        <w:t xml:space="preserve"> jeb 6,</w:t>
      </w:r>
      <w:r>
        <w:t>6</w:t>
      </w:r>
      <w:r w:rsidRPr="00D213AE">
        <w:t>%, kas salīdzinājumā ar 202</w:t>
      </w:r>
      <w:r>
        <w:t>4</w:t>
      </w:r>
      <w:r w:rsidRPr="00D213AE">
        <w:t xml:space="preserve">. gadā plānoto ir par 42,7 milj. </w:t>
      </w:r>
      <w:proofErr w:type="spellStart"/>
      <w:r w:rsidRPr="00D213AE">
        <w:rPr>
          <w:i/>
        </w:rPr>
        <w:t>euro</w:t>
      </w:r>
      <w:proofErr w:type="spellEnd"/>
      <w:r w:rsidRPr="00D213AE">
        <w:t xml:space="preserve"> jeb </w:t>
      </w:r>
      <w:r>
        <w:t>3,9</w:t>
      </w:r>
      <w:r w:rsidRPr="00D213AE">
        <w:t>% vairāk</w:t>
      </w:r>
      <w:r w:rsidRPr="0004441C">
        <w:t>.</w:t>
      </w:r>
      <w:r w:rsidRPr="0004441C">
        <w:rPr>
          <w:szCs w:val="18"/>
          <w:lang w:eastAsia="lv-LV"/>
        </w:rPr>
        <w:t xml:space="preserve"> </w:t>
      </w:r>
      <w:r w:rsidRPr="0004441C">
        <w:t>Palielinājums galvenokārt saistīts ar papildus piešķirto finansējumu</w:t>
      </w:r>
      <w:r w:rsidRPr="0004441C">
        <w:rPr>
          <w:szCs w:val="18"/>
          <w:lang w:eastAsia="lv-LV"/>
        </w:rPr>
        <w:t xml:space="preserve"> </w:t>
      </w:r>
      <w:proofErr w:type="spellStart"/>
      <w:r w:rsidRPr="0004441C">
        <w:rPr>
          <w:szCs w:val="18"/>
          <w:lang w:eastAsia="lv-LV"/>
        </w:rPr>
        <w:t>Iekšlietu</w:t>
      </w:r>
      <w:proofErr w:type="spellEnd"/>
      <w:r w:rsidRPr="0004441C">
        <w:rPr>
          <w:szCs w:val="18"/>
          <w:lang w:eastAsia="lv-LV"/>
        </w:rPr>
        <w:t xml:space="preserve"> di</w:t>
      </w:r>
      <w:r>
        <w:rPr>
          <w:szCs w:val="18"/>
          <w:lang w:eastAsia="lv-LV"/>
        </w:rPr>
        <w:t>e</w:t>
      </w:r>
      <w:r w:rsidRPr="0004441C">
        <w:rPr>
          <w:szCs w:val="18"/>
          <w:lang w:eastAsia="lv-LV"/>
        </w:rPr>
        <w:t xml:space="preserve">nestu un Ieslodzījuma vietu pārvaldes amatpersonu ar speciālajām dienesta pakāpēm atalgojuma palielināšanai par 10% un jaunās piemaksas ieviešanai par darbu dienestā, </w:t>
      </w:r>
      <w:r w:rsidRPr="0004441C">
        <w:rPr>
          <w:szCs w:val="24"/>
          <w:lang w:eastAsia="lv-LV"/>
        </w:rPr>
        <w:t>valsts drošības dienesta darbības prioritāro jomu stiprināšanai, elektroniskās uzraudzības sistēmas ieviešanai un uzturēšanai</w:t>
      </w:r>
      <w:r w:rsidRPr="00B35CBD">
        <w:rPr>
          <w:szCs w:val="24"/>
          <w:lang w:eastAsia="lv-LV"/>
        </w:rPr>
        <w:t xml:space="preserve">, </w:t>
      </w:r>
      <w:r w:rsidRPr="00B35CBD">
        <w:rPr>
          <w:lang w:eastAsia="lv-LV"/>
        </w:rPr>
        <w:t xml:space="preserve">konkurētspējīga atalgojuma nodrošināšanai tiesās, Datu valsts inspekcijas nodarbināto mēnešalgu palielinājumam, </w:t>
      </w:r>
      <w:r w:rsidRPr="00B35CBD">
        <w:rPr>
          <w:szCs w:val="18"/>
          <w:lang w:eastAsia="lv-LV"/>
        </w:rPr>
        <w:t xml:space="preserve">konkurētspējīgas Augstākās tiesas darbinieku atalgojuma sistēmas uzturēšanai, mākslīgā intelekta ieviešanai Augstākās tiesas funkciju nodrošināšanai (lietu sagatavošanas rīkam), </w:t>
      </w:r>
      <w:r>
        <w:rPr>
          <w:szCs w:val="18"/>
          <w:lang w:eastAsia="lv-LV"/>
        </w:rPr>
        <w:t xml:space="preserve">Augstākajai tiesai </w:t>
      </w:r>
      <w:r w:rsidRPr="00B35CBD">
        <w:rPr>
          <w:szCs w:val="18"/>
          <w:lang w:eastAsia="lv-LV"/>
        </w:rPr>
        <w:t xml:space="preserve">starptautiskās sadarbības aktivitāšu īstenošanai un pilnvērtīgas veselības apdrošināšanas nodrošināšanai, </w:t>
      </w:r>
      <w:r>
        <w:rPr>
          <w:szCs w:val="18"/>
          <w:lang w:eastAsia="lv-LV"/>
        </w:rPr>
        <w:t xml:space="preserve">Satversmes tiesas ēkas fiziskās drošības režīma uzlabošanai, Satversmes tiesas informāciju tehnoloģiju un informācijas sistēmu drošības pilnveidošanai un modernizēšanai, Prokuratūras informācijas sistēmas pārvaldības un arhitektūras ietvara pilnveidei, pabalstu un kompensāciju nodrošināšanai par dienestu ārvalstīs kvalitatīvai Latvijas nacionālo drošības un ekonomisko interešu aizstāvībai, </w:t>
      </w:r>
      <w:r>
        <w:rPr>
          <w:szCs w:val="24"/>
          <w:lang w:eastAsia="lv-LV"/>
        </w:rPr>
        <w:t xml:space="preserve">valsts materiālo rezervju iegādei, atjaunināšanai un uzturēšanai, kā arī </w:t>
      </w:r>
      <w:proofErr w:type="spellStart"/>
      <w:r>
        <w:rPr>
          <w:szCs w:val="24"/>
          <w:lang w:eastAsia="lv-LV"/>
        </w:rPr>
        <w:t>Iekšlietu</w:t>
      </w:r>
      <w:proofErr w:type="spellEnd"/>
      <w:r>
        <w:rPr>
          <w:szCs w:val="24"/>
          <w:lang w:eastAsia="lv-LV"/>
        </w:rPr>
        <w:t xml:space="preserve"> ministrijai </w:t>
      </w:r>
      <w:r w:rsidRPr="00310805">
        <w:rPr>
          <w:szCs w:val="18"/>
          <w:lang w:eastAsia="lv-LV"/>
        </w:rPr>
        <w:t>katastrofu pārvaldības centru būvniecīb</w:t>
      </w:r>
      <w:r>
        <w:rPr>
          <w:szCs w:val="18"/>
          <w:lang w:eastAsia="lv-LV"/>
        </w:rPr>
        <w:t>ai</w:t>
      </w:r>
      <w:r w:rsidRPr="00310805">
        <w:rPr>
          <w:szCs w:val="18"/>
          <w:lang w:eastAsia="lv-LV"/>
        </w:rPr>
        <w:t xml:space="preserve"> Rīgā (Bolderājā), Jūrmalā (Dzintaros)</w:t>
      </w:r>
      <w:r>
        <w:rPr>
          <w:szCs w:val="18"/>
          <w:lang w:eastAsia="lv-LV"/>
        </w:rPr>
        <w:t>,</w:t>
      </w:r>
      <w:r w:rsidRPr="00310805">
        <w:rPr>
          <w:szCs w:val="18"/>
          <w:lang w:eastAsia="lv-LV"/>
        </w:rPr>
        <w:t xml:space="preserve"> Kuldīgā</w:t>
      </w:r>
      <w:r>
        <w:rPr>
          <w:szCs w:val="18"/>
          <w:lang w:eastAsia="lv-LV"/>
        </w:rPr>
        <w:t xml:space="preserve">. </w:t>
      </w:r>
      <w:r w:rsidRPr="00D50665">
        <w:rPr>
          <w:szCs w:val="24"/>
          <w:lang w:eastAsia="lv-LV"/>
        </w:rPr>
        <w:t xml:space="preserve">Uz funkciju “Sabiedriskā kārtība un drošība” attiecināts budžeta 74. resora </w:t>
      </w:r>
      <w:r>
        <w:rPr>
          <w:szCs w:val="24"/>
          <w:lang w:eastAsia="lv-LV"/>
        </w:rPr>
        <w:t>10.00.00 programmā “</w:t>
      </w:r>
      <w:r w:rsidRPr="002A4F57">
        <w:rPr>
          <w:szCs w:val="24"/>
          <w:lang w:eastAsia="lv-LV"/>
        </w:rPr>
        <w:t>Noziedzīgi iegūtu līdzekļu legalizācijas un terorisma finansēšanas novēršana</w:t>
      </w:r>
      <w:r>
        <w:rPr>
          <w:szCs w:val="24"/>
          <w:lang w:eastAsia="lv-LV"/>
        </w:rPr>
        <w:t xml:space="preserve">”, </w:t>
      </w:r>
      <w:r w:rsidRPr="00D50665">
        <w:rPr>
          <w:szCs w:val="24"/>
          <w:lang w:eastAsia="lv-LV"/>
        </w:rPr>
        <w:t>22.00.00 programmā “Valsts ārējās robežas drošības pasākumu nodrošināšana” plānotais finansējums u.c.;</w:t>
      </w:r>
    </w:p>
    <w:p w14:paraId="5E37469E" w14:textId="77777777" w:rsidR="004D417B" w:rsidRPr="00FA319F" w:rsidRDefault="004D417B" w:rsidP="004D417B">
      <w:pPr>
        <w:ind w:firstLine="720"/>
      </w:pPr>
      <w:r w:rsidRPr="00F44528">
        <w:rPr>
          <w:i/>
        </w:rPr>
        <w:t>ekonomiskai darbībai</w:t>
      </w:r>
      <w:r w:rsidRPr="00F44528">
        <w:t xml:space="preserve"> 2 935,2 milj. </w:t>
      </w:r>
      <w:proofErr w:type="spellStart"/>
      <w:r w:rsidRPr="00F44528">
        <w:rPr>
          <w:i/>
        </w:rPr>
        <w:t>euro</w:t>
      </w:r>
      <w:proofErr w:type="spellEnd"/>
      <w:r w:rsidRPr="00F44528">
        <w:t xml:space="preserve"> jeb 1</w:t>
      </w:r>
      <w:r>
        <w:t>7,2</w:t>
      </w:r>
      <w:r w:rsidRPr="00F44528">
        <w:t>%, kas salīdzinājumā ar 202</w:t>
      </w:r>
      <w:r>
        <w:t>4</w:t>
      </w:r>
      <w:r w:rsidRPr="00F44528">
        <w:t>. gadā plānoto ir par 165,3</w:t>
      </w:r>
      <w:r>
        <w:t xml:space="preserve"> </w:t>
      </w:r>
      <w:r w:rsidRPr="00F44528">
        <w:t xml:space="preserve">milj. </w:t>
      </w:r>
      <w:proofErr w:type="spellStart"/>
      <w:r w:rsidRPr="00F44528">
        <w:rPr>
          <w:i/>
        </w:rPr>
        <w:t>euro</w:t>
      </w:r>
      <w:proofErr w:type="spellEnd"/>
      <w:r w:rsidRPr="00F44528">
        <w:t xml:space="preserve"> jeb </w:t>
      </w:r>
      <w:r>
        <w:t>5,3</w:t>
      </w:r>
      <w:r w:rsidRPr="00F44528">
        <w:t xml:space="preserve">% </w:t>
      </w:r>
      <w:r>
        <w:t>mazāk</w:t>
      </w:r>
      <w:r w:rsidRPr="00F44528">
        <w:t xml:space="preserve">. </w:t>
      </w:r>
      <w:r>
        <w:t xml:space="preserve">Samazinājums galvenokārt saistīts ar izdevumiem </w:t>
      </w:r>
      <w:r w:rsidRPr="00D50665">
        <w:rPr>
          <w:szCs w:val="24"/>
          <w:lang w:eastAsia="lv-LV"/>
        </w:rPr>
        <w:t xml:space="preserve">74. resora </w:t>
      </w:r>
      <w:r>
        <w:rPr>
          <w:szCs w:val="24"/>
          <w:lang w:eastAsia="lv-LV"/>
        </w:rPr>
        <w:t>80.00.00 programmā “Nesadalītais finansējums Eiropas Savienības politiku instrumentu un pārējās ārvalstu finanšu palīdzības līdzfinansēto projektu un pasākumu īstenošanai”, no kuras pārdalīts finansējums arī uz citiem budžeta resoriem</w:t>
      </w:r>
      <w:r>
        <w:t>.</w:t>
      </w:r>
      <w:r w:rsidRPr="00191E4B">
        <w:rPr>
          <w:color w:val="FF0000"/>
        </w:rPr>
        <w:t xml:space="preserve"> </w:t>
      </w:r>
      <w:r w:rsidRPr="00FA319F">
        <w:t xml:space="preserve">Vienlaikus paredzēts papildu finansējums </w:t>
      </w:r>
      <w:r>
        <w:t>z</w:t>
      </w:r>
      <w:r w:rsidRPr="00FA319F">
        <w:t>emas īres maksas mājokļu būvniecībai reģionos</w:t>
      </w:r>
      <w:r w:rsidRPr="001B5DB9">
        <w:t xml:space="preserve">, Ekonomikas ministrijas kapacitātes stiprināšanai, Latvijas investīciju un attīstības aģentūras reorganizācijas nodrošināšanai, Konkurences padomes amatpersonu (darbinieku) atlīdzības indeksācijai, </w:t>
      </w:r>
      <w:r w:rsidRPr="001B5DB9">
        <w:rPr>
          <w:szCs w:val="24"/>
          <w:lang w:eastAsia="lv-LV"/>
        </w:rPr>
        <w:t>valsts materiālo rezervju iegādei, atjaunināšanai un uzturēšanai,</w:t>
      </w:r>
      <w:r w:rsidRPr="00FA319F">
        <w:t xml:space="preserve"> valsts autoceļu uzturēšanai un atjaunošanai saistībā ar ieņēmumu palielinājumu no autoceļu lietošanas nodevas, EK KLP stratēģiskā plāna regulas priekšlikumu par dalībvalstu iespēju nodrošināt papildu finansējumu vienlīdzīgāku konkurences apstākļu nodrošināšanai ar citām ES dalībvalstīm, kā arī lai nodrošinātu klimatam un videi labvēlīgu lauksaimniecības prakses īstenošanu, veicinātu tehnoloģiju izmantošanu,</w:t>
      </w:r>
      <w:r>
        <w:t xml:space="preserve"> </w:t>
      </w:r>
      <w:r w:rsidRPr="00FA319F">
        <w:t>kā arī samazinātu minerālmēslu un ķīmisko augu aizsardzības</w:t>
      </w:r>
      <w:r>
        <w:t xml:space="preserve"> </w:t>
      </w:r>
      <w:r w:rsidRPr="00FA319F">
        <w:t xml:space="preserve">līdzekļu lietošanu, turpinot atbalstu iepriekšējā gadā uzsāktajiem pasākumiem. </w:t>
      </w:r>
      <w:r w:rsidRPr="001B5DB9">
        <w:rPr>
          <w:szCs w:val="24"/>
          <w:lang w:eastAsia="lv-LV"/>
        </w:rPr>
        <w:t xml:space="preserve">Uz funkciju “Ekonomiskā darbība” attiecināts arī finansējums budžeta 74. resora 23.00.00 programmā “Valsts atbalsta programmas un citi valsts nozīmes pasākumi” (tajā skatā paredzēts finansējums </w:t>
      </w:r>
      <w:r w:rsidRPr="00FA319F">
        <w:lastRenderedPageBreak/>
        <w:t>valsts publiskās lietošanas dzelzceļa infrastruktūras pārvaldītāja (valsts akciju sabiedrības “Latvijas dzelzceļš”) finanšu līdzsvara par 2024. gadu nodrošināšanai,</w:t>
      </w:r>
      <w:r w:rsidRPr="00FA319F" w:rsidDel="00310805">
        <w:t xml:space="preserve"> </w:t>
      </w:r>
      <w:r w:rsidRPr="00FA319F">
        <w:t xml:space="preserve">kā arī </w:t>
      </w:r>
      <w:r w:rsidRPr="001B5DB9">
        <w:rPr>
          <w:szCs w:val="24"/>
          <w:lang w:eastAsia="lv-LV"/>
        </w:rPr>
        <w:t>pedagogu atalgojuma pieaugumam,</w:t>
      </w:r>
      <w:r>
        <w:rPr>
          <w:szCs w:val="24"/>
          <w:lang w:eastAsia="lv-LV"/>
        </w:rPr>
        <w:t xml:space="preserve"> </w:t>
      </w:r>
      <w:r w:rsidRPr="001B5DB9">
        <w:rPr>
          <w:szCs w:val="24"/>
          <w:lang w:eastAsia="lv-LV"/>
        </w:rPr>
        <w:t>tajā skaitā finansējums pedagogu darba samaksai atbilstoši aktualizētajam skolēnu skaitam) u.c.;</w:t>
      </w:r>
    </w:p>
    <w:p w14:paraId="099D12FD" w14:textId="77777777" w:rsidR="004D417B" w:rsidRPr="004D63DD" w:rsidRDefault="004D417B" w:rsidP="004D417B">
      <w:pPr>
        <w:ind w:firstLine="720"/>
        <w:rPr>
          <w:szCs w:val="24"/>
        </w:rPr>
      </w:pPr>
      <w:r w:rsidRPr="004D63DD">
        <w:rPr>
          <w:i/>
          <w:szCs w:val="24"/>
        </w:rPr>
        <w:t>vides aizsardzībai</w:t>
      </w:r>
      <w:r w:rsidRPr="004D63DD">
        <w:rPr>
          <w:szCs w:val="24"/>
        </w:rPr>
        <w:t xml:space="preserve"> 71,5 milj. </w:t>
      </w:r>
      <w:proofErr w:type="spellStart"/>
      <w:r w:rsidRPr="004D63DD">
        <w:rPr>
          <w:i/>
          <w:szCs w:val="24"/>
        </w:rPr>
        <w:t>euro</w:t>
      </w:r>
      <w:proofErr w:type="spellEnd"/>
      <w:r w:rsidRPr="004D63DD">
        <w:rPr>
          <w:szCs w:val="24"/>
        </w:rPr>
        <w:t xml:space="preserve"> jeb 0,4%, kas salīdzinājumā ar 2024. gadā plānoto ir par 1,8 milj. </w:t>
      </w:r>
      <w:proofErr w:type="spellStart"/>
      <w:r w:rsidRPr="004D63DD">
        <w:rPr>
          <w:i/>
          <w:szCs w:val="24"/>
        </w:rPr>
        <w:t>euro</w:t>
      </w:r>
      <w:proofErr w:type="spellEnd"/>
      <w:r w:rsidRPr="004D63DD">
        <w:rPr>
          <w:szCs w:val="24"/>
        </w:rPr>
        <w:t xml:space="preserve"> jeb 2,5% mazāk. Samazinājums galvenokārt saistīts ar izdevumiem </w:t>
      </w:r>
      <w:r w:rsidRPr="004D63DD">
        <w:t>ES politiku instrumentu un pārējās ārvalstu finanšu palīdzības līdzfinansēto projektu un pasākumu īstenošanai;</w:t>
      </w:r>
    </w:p>
    <w:p w14:paraId="69EE237D" w14:textId="77777777" w:rsidR="004D417B" w:rsidRPr="002A138A" w:rsidRDefault="004D417B" w:rsidP="004D417B">
      <w:pPr>
        <w:ind w:firstLine="720"/>
        <w:rPr>
          <w:szCs w:val="24"/>
        </w:rPr>
      </w:pPr>
      <w:r w:rsidRPr="002A138A">
        <w:rPr>
          <w:i/>
        </w:rPr>
        <w:t>teritoriju un mājokļu apsaimniekošanai</w:t>
      </w:r>
      <w:r w:rsidRPr="002A138A">
        <w:t xml:space="preserve"> 36,8 milj. </w:t>
      </w:r>
      <w:proofErr w:type="spellStart"/>
      <w:r w:rsidRPr="002A138A">
        <w:rPr>
          <w:i/>
        </w:rPr>
        <w:t>euro</w:t>
      </w:r>
      <w:proofErr w:type="spellEnd"/>
      <w:r w:rsidRPr="002A138A">
        <w:t xml:space="preserve"> jeb 0,2%, kas salīdzinājumā ar 2024. gadā plānoto ir par 12,6 milj. </w:t>
      </w:r>
      <w:proofErr w:type="spellStart"/>
      <w:r w:rsidRPr="002A138A">
        <w:rPr>
          <w:i/>
        </w:rPr>
        <w:t>euro</w:t>
      </w:r>
      <w:proofErr w:type="spellEnd"/>
      <w:r w:rsidRPr="002A138A">
        <w:t xml:space="preserve"> jeb 52,1% vairāk, kas galvenokārt saistīts ar paredzēto finansējumu ES politiku instrumentu un pārējās ārvalstu finanšu palīdzības līdzfinansēto projektu un pasākumu īstenošanai</w:t>
      </w:r>
      <w:r w:rsidRPr="002A138A">
        <w:rPr>
          <w:szCs w:val="24"/>
          <w:lang w:eastAsia="lv-LV"/>
        </w:rPr>
        <w:t xml:space="preserve">, tajā skaitā </w:t>
      </w:r>
      <w:r w:rsidRPr="002A138A">
        <w:t>Atveseļošanas un noturības mehānisma projektiem un pasākumiem u.c.;</w:t>
      </w:r>
    </w:p>
    <w:p w14:paraId="6FD4595C" w14:textId="77777777" w:rsidR="004D417B" w:rsidRPr="00493B92" w:rsidRDefault="004D417B" w:rsidP="004D417B">
      <w:pPr>
        <w:ind w:firstLine="720"/>
        <w:rPr>
          <w:szCs w:val="24"/>
        </w:rPr>
      </w:pPr>
      <w:r w:rsidRPr="00493B92">
        <w:rPr>
          <w:i/>
          <w:szCs w:val="24"/>
        </w:rPr>
        <w:t>veselībai</w:t>
      </w:r>
      <w:r w:rsidRPr="00493B92">
        <w:rPr>
          <w:szCs w:val="24"/>
        </w:rPr>
        <w:t xml:space="preserve"> 1 874,4 milj. </w:t>
      </w:r>
      <w:proofErr w:type="spellStart"/>
      <w:r w:rsidRPr="00493B92">
        <w:rPr>
          <w:i/>
          <w:szCs w:val="24"/>
        </w:rPr>
        <w:t>euro</w:t>
      </w:r>
      <w:proofErr w:type="spellEnd"/>
      <w:r w:rsidRPr="00493B92">
        <w:rPr>
          <w:szCs w:val="24"/>
        </w:rPr>
        <w:t xml:space="preserve"> jeb 11,0% no kopējiem valsts budžeta izdevumiem, kas salīdzinājumā ar 2024. gadā plānoto ir par 32,9 milj. </w:t>
      </w:r>
      <w:proofErr w:type="spellStart"/>
      <w:r w:rsidRPr="00493B92">
        <w:rPr>
          <w:i/>
          <w:szCs w:val="24"/>
        </w:rPr>
        <w:t>euro</w:t>
      </w:r>
      <w:proofErr w:type="spellEnd"/>
      <w:r w:rsidRPr="00493B92">
        <w:rPr>
          <w:szCs w:val="24"/>
        </w:rPr>
        <w:t xml:space="preserve"> jeb 1,8% vairāk. Palielinājums galvenokārt saistīts ar paredzēto p</w:t>
      </w:r>
      <w:r w:rsidRPr="00493B92">
        <w:rPr>
          <w:szCs w:val="24"/>
          <w:lang w:eastAsia="lv-LV"/>
        </w:rPr>
        <w:t xml:space="preserve">apildu finansējumu pasākuma “Veselības aprūpes pakalpojumu onkoloģijas un citu slimību, kurām neatliekami turpināma terapija, uzlabošana” īstenošanai, </w:t>
      </w:r>
      <w:r>
        <w:rPr>
          <w:szCs w:val="24"/>
          <w:lang w:eastAsia="lv-LV"/>
        </w:rPr>
        <w:t xml:space="preserve">Neatliekamās medicīniskās palīdzības dienesta pamatfunkciju stiprināšanai, tajā skaitā gatavībai ārkārtas gadījumiem, valsts materiālo rezervju iegādei, atjaunināšanai un uzturēšanai, </w:t>
      </w:r>
      <w:r w:rsidRPr="00493B92">
        <w:rPr>
          <w:szCs w:val="24"/>
          <w:lang w:eastAsia="lv-LV"/>
        </w:rPr>
        <w:t xml:space="preserve">kā arī </w:t>
      </w:r>
      <w:r w:rsidRPr="00493B92">
        <w:t>saistībā ar paredzēto finansējumu ES politiku instrumentu un pārējās ārvalstu finanšu palīdzības līdzfinansēto projektu un pasākumu īstenošanai</w:t>
      </w:r>
      <w:r w:rsidRPr="00493B92">
        <w:rPr>
          <w:szCs w:val="24"/>
          <w:lang w:eastAsia="lv-LV"/>
        </w:rPr>
        <w:t xml:space="preserve">, tajā skaitā </w:t>
      </w:r>
      <w:r w:rsidRPr="00493B92">
        <w:t>Atveseļošanas un noturības mehānisma projektiem un pasākumiem. Uz f</w:t>
      </w:r>
      <w:r w:rsidRPr="00493B92">
        <w:rPr>
          <w:lang w:eastAsia="lv-LV"/>
        </w:rPr>
        <w:t xml:space="preserve">unkciju “Veselība” attiecināti arī izdevumi </w:t>
      </w:r>
      <w:proofErr w:type="spellStart"/>
      <w:r w:rsidRPr="00493B92">
        <w:rPr>
          <w:lang w:eastAsia="lv-LV"/>
        </w:rPr>
        <w:t>Iekšlietu</w:t>
      </w:r>
      <w:proofErr w:type="spellEnd"/>
      <w:r w:rsidRPr="00493B92">
        <w:rPr>
          <w:lang w:eastAsia="lv-LV"/>
        </w:rPr>
        <w:t xml:space="preserve"> ministrijas 38.05.00 apakšprogrammā “Veselības aprūpe un fiziskā sagatavotība” un</w:t>
      </w:r>
      <w:r w:rsidRPr="00493B92">
        <w:t xml:space="preserve"> </w:t>
      </w:r>
      <w:r w:rsidRPr="00493B92">
        <w:rPr>
          <w:szCs w:val="24"/>
          <w:lang w:eastAsia="lv-LV"/>
        </w:rPr>
        <w:t xml:space="preserve">finansējums budžeta 74. resora 12.00.00 programmā “Finansējums veselības jomas pasākumiem Covid-19 infekcijas izplatības ierobežošanai” un 20.00.00 programmā “Veselības aprūpes pasākumu īstenošana” </w:t>
      </w:r>
      <w:r w:rsidRPr="00493B92">
        <w:t>u.c.;</w:t>
      </w:r>
    </w:p>
    <w:p w14:paraId="40750E4A" w14:textId="77777777" w:rsidR="004D417B" w:rsidRPr="00BB4BDF" w:rsidRDefault="004D417B" w:rsidP="004D417B">
      <w:pPr>
        <w:ind w:firstLine="720"/>
      </w:pPr>
      <w:r w:rsidRPr="00BB4BDF">
        <w:rPr>
          <w:i/>
        </w:rPr>
        <w:t>atpūtai, kultūrai un reliģijai</w:t>
      </w:r>
      <w:r w:rsidRPr="00BB4BDF">
        <w:t xml:space="preserve"> 241,6 milj. </w:t>
      </w:r>
      <w:proofErr w:type="spellStart"/>
      <w:r w:rsidRPr="00BB4BDF">
        <w:rPr>
          <w:i/>
        </w:rPr>
        <w:t>euro</w:t>
      </w:r>
      <w:proofErr w:type="spellEnd"/>
      <w:r w:rsidRPr="00BB4BDF">
        <w:rPr>
          <w:i/>
        </w:rPr>
        <w:t xml:space="preserve"> </w:t>
      </w:r>
      <w:r w:rsidRPr="00BB4BDF">
        <w:t xml:space="preserve">jeb 1,4%, kas salīdzinājumā ar 2024. gadā plānoto ir par 6,5 milj. </w:t>
      </w:r>
      <w:proofErr w:type="spellStart"/>
      <w:r w:rsidRPr="00BB4BDF">
        <w:rPr>
          <w:i/>
        </w:rPr>
        <w:t>euro</w:t>
      </w:r>
      <w:proofErr w:type="spellEnd"/>
      <w:r w:rsidRPr="00BB4BDF">
        <w:t xml:space="preserve"> jeb 2,8% vairāk, kas galvenokārt saistīts ar finansējumu sabiedriskā pasūtījuma īstenošanai Latvijas Sabiedriskajā mēdijā, valsts budžeta līdzfinansējumam </w:t>
      </w:r>
      <w:proofErr w:type="spellStart"/>
      <w:r w:rsidRPr="00BB4BDF">
        <w:t>dižpasākuma</w:t>
      </w:r>
      <w:proofErr w:type="spellEnd"/>
      <w:r w:rsidRPr="00BB4BDF">
        <w:t xml:space="preserve"> – Eiropas čempionāta finālturnīra basketbolā vīriešiem (FIBA </w:t>
      </w:r>
      <w:proofErr w:type="spellStart"/>
      <w:r w:rsidRPr="00BB4BDF">
        <w:t>EuroBasket</w:t>
      </w:r>
      <w:proofErr w:type="spellEnd"/>
      <w:r w:rsidRPr="00BB4BDF">
        <w:t xml:space="preserve">) organizēšanai Latvijā 2025. gadā, valsts līdzdalībai Eiropas kultūras galvaspilsētas 2027 programmas sagatavošanā un īstenošanā, Valsts </w:t>
      </w:r>
      <w:proofErr w:type="spellStart"/>
      <w:r w:rsidRPr="00BB4BDF">
        <w:t>kultūrkapitāla</w:t>
      </w:r>
      <w:proofErr w:type="spellEnd"/>
      <w:r w:rsidRPr="00BB4BDF">
        <w:t xml:space="preserve"> fonda likuma normu īstenošanai u.c.</w:t>
      </w:r>
      <w:r>
        <w:t>;</w:t>
      </w:r>
      <w:r w:rsidRPr="00BB4BDF">
        <w:t xml:space="preserve"> </w:t>
      </w:r>
    </w:p>
    <w:p w14:paraId="65B20E10" w14:textId="77777777" w:rsidR="004D417B" w:rsidRPr="00FF17F8" w:rsidRDefault="004D417B" w:rsidP="004D417B">
      <w:pPr>
        <w:ind w:firstLine="720"/>
        <w:rPr>
          <w:szCs w:val="24"/>
          <w:lang w:eastAsia="lv-LV"/>
        </w:rPr>
      </w:pPr>
      <w:r w:rsidRPr="00FF17F8">
        <w:rPr>
          <w:i/>
        </w:rPr>
        <w:t>izglītībai</w:t>
      </w:r>
      <w:r w:rsidRPr="00FF17F8">
        <w:t xml:space="preserve"> 1 232,6 milj. </w:t>
      </w:r>
      <w:proofErr w:type="spellStart"/>
      <w:r w:rsidRPr="00FF17F8">
        <w:rPr>
          <w:i/>
        </w:rPr>
        <w:t>euro</w:t>
      </w:r>
      <w:proofErr w:type="spellEnd"/>
      <w:r w:rsidRPr="00FF17F8">
        <w:t xml:space="preserve"> jeb 7,2%, kas salīdzinājumā ar 2024. gadā plānoto ir par 76,4 milj. </w:t>
      </w:r>
      <w:proofErr w:type="spellStart"/>
      <w:r w:rsidRPr="00FF17F8">
        <w:rPr>
          <w:i/>
        </w:rPr>
        <w:t>euro</w:t>
      </w:r>
      <w:proofErr w:type="spellEnd"/>
      <w:r w:rsidRPr="00FF17F8">
        <w:t xml:space="preserve"> jeb 6,6% vairāk. </w:t>
      </w:r>
      <w:r w:rsidRPr="00FF17F8">
        <w:rPr>
          <w:szCs w:val="24"/>
        </w:rPr>
        <w:t>Paredzēts papildu finansējums</w:t>
      </w:r>
      <w:r w:rsidRPr="00FF17F8">
        <w:rPr>
          <w:szCs w:val="24"/>
          <w:lang w:eastAsia="lv-LV"/>
        </w:rPr>
        <w:t xml:space="preserve"> XIII Latvijas skolu jaunatnes dziesmu un deju svētku norises nodrošināšanai, </w:t>
      </w:r>
      <w:r w:rsidRPr="00037583">
        <w:rPr>
          <w:szCs w:val="24"/>
          <w:lang w:eastAsia="lv-LV"/>
        </w:rPr>
        <w:t xml:space="preserve">augstākās izglītības institucionālā finansējuma </w:t>
      </w:r>
      <w:proofErr w:type="spellStart"/>
      <w:r w:rsidRPr="00037583">
        <w:rPr>
          <w:szCs w:val="24"/>
          <w:lang w:eastAsia="lv-LV"/>
        </w:rPr>
        <w:t>izmēģinājumprojekta</w:t>
      </w:r>
      <w:proofErr w:type="spellEnd"/>
      <w:r>
        <w:rPr>
          <w:szCs w:val="24"/>
          <w:lang w:eastAsia="lv-LV"/>
        </w:rPr>
        <w:t xml:space="preserve"> </w:t>
      </w:r>
      <w:r w:rsidRPr="00037583">
        <w:rPr>
          <w:szCs w:val="24"/>
          <w:lang w:eastAsia="lv-LV"/>
        </w:rPr>
        <w:t>ieviešanai,</w:t>
      </w:r>
      <w:r>
        <w:rPr>
          <w:szCs w:val="24"/>
          <w:lang w:eastAsia="lv-LV"/>
        </w:rPr>
        <w:t xml:space="preserve"> </w:t>
      </w:r>
      <w:proofErr w:type="spellStart"/>
      <w:r w:rsidRPr="00FF17F8">
        <w:t>mikrokvalifikāciju</w:t>
      </w:r>
      <w:proofErr w:type="spellEnd"/>
      <w:r w:rsidRPr="00FF17F8">
        <w:t xml:space="preserve"> </w:t>
      </w:r>
      <w:proofErr w:type="spellStart"/>
      <w:r w:rsidRPr="00FF17F8">
        <w:t>izmēģinājumprojekta</w:t>
      </w:r>
      <w:proofErr w:type="spellEnd"/>
      <w:r w:rsidRPr="00FF17F8">
        <w:t xml:space="preserve"> ieviešanai, studējošo, absolventu un bez diploma </w:t>
      </w:r>
      <w:proofErr w:type="spellStart"/>
      <w:r w:rsidRPr="00FF17F8">
        <w:t>eksmatrikulēto</w:t>
      </w:r>
      <w:proofErr w:type="spellEnd"/>
      <w:r w:rsidRPr="00FF17F8">
        <w:t xml:space="preserve"> aptaujai un snieguma finansējuma īpatsvara pakāpeniskai palielināšanai augstākajā izglītībā un zinātnē,</w:t>
      </w:r>
      <w:r w:rsidRPr="00FF17F8">
        <w:rPr>
          <w:szCs w:val="24"/>
          <w:lang w:eastAsia="lv-LV"/>
        </w:rPr>
        <w:t xml:space="preserve"> profesionālās izglītības programmu īstenošanas bāzes finansējuma pārskatīšanas nodrošināšanai, profesionālās ievirzes izglītības pedagogu un sporta treneru darba slodzes līdzsvarošanas nodrošināšanai, </w:t>
      </w:r>
      <w:r w:rsidRPr="00FF17F8">
        <w:t>ES politiku instrumentu un pārējās ārvalstu finanšu palīdzības līdzfinansēto projektu un pasākumu īstenošanai</w:t>
      </w:r>
      <w:r w:rsidRPr="00FF17F8">
        <w:rPr>
          <w:szCs w:val="24"/>
          <w:lang w:eastAsia="lv-LV"/>
        </w:rPr>
        <w:t xml:space="preserve">, tajā skaitā </w:t>
      </w:r>
      <w:r w:rsidRPr="00FF17F8">
        <w:t>Atveseļošanas un noturības mehānisma projektiem un pasākumiem</w:t>
      </w:r>
      <w:r>
        <w:t xml:space="preserve"> u.c.;</w:t>
      </w:r>
    </w:p>
    <w:p w14:paraId="7AD26C34" w14:textId="77777777" w:rsidR="004D417B" w:rsidRPr="00617967" w:rsidRDefault="004D417B" w:rsidP="004D417B">
      <w:pPr>
        <w:ind w:firstLine="720"/>
        <w:rPr>
          <w:iCs/>
          <w:szCs w:val="24"/>
        </w:rPr>
      </w:pPr>
      <w:r w:rsidRPr="00617967">
        <w:rPr>
          <w:i/>
          <w:szCs w:val="24"/>
        </w:rPr>
        <w:t xml:space="preserve">sociālajai aizsardzībai </w:t>
      </w:r>
      <w:r w:rsidRPr="00617967">
        <w:rPr>
          <w:szCs w:val="24"/>
        </w:rPr>
        <w:t xml:space="preserve">5 672,9 milj. </w:t>
      </w:r>
      <w:proofErr w:type="spellStart"/>
      <w:r w:rsidRPr="00617967">
        <w:rPr>
          <w:i/>
          <w:szCs w:val="24"/>
        </w:rPr>
        <w:t>euro</w:t>
      </w:r>
      <w:proofErr w:type="spellEnd"/>
      <w:r w:rsidRPr="00617967">
        <w:rPr>
          <w:szCs w:val="24"/>
        </w:rPr>
        <w:t xml:space="preserve"> jeb 33,2%, kas salīdzinājumā ar 2024. gadā plānoto ir par 419,8 milj. </w:t>
      </w:r>
      <w:proofErr w:type="spellStart"/>
      <w:r w:rsidRPr="00617967">
        <w:rPr>
          <w:i/>
          <w:szCs w:val="24"/>
        </w:rPr>
        <w:t>euro</w:t>
      </w:r>
      <w:proofErr w:type="spellEnd"/>
      <w:r w:rsidRPr="00617967">
        <w:rPr>
          <w:i/>
          <w:szCs w:val="24"/>
        </w:rPr>
        <w:t xml:space="preserve"> </w:t>
      </w:r>
      <w:r w:rsidRPr="00617967">
        <w:rPr>
          <w:szCs w:val="24"/>
        </w:rPr>
        <w:t xml:space="preserve">jeb 8,0% vairāk. Palielinājums galvenokārt saistīts ar papildu finansējuma piešķiršanu atbalstam minimālo ienākumu palielināšanai, </w:t>
      </w:r>
      <w:r w:rsidRPr="00617967">
        <w:rPr>
          <w:iCs/>
          <w:szCs w:val="24"/>
          <w:lang w:eastAsia="lv-LV"/>
        </w:rPr>
        <w:t>saistībā ar prognozētajām saņēmēju skaita un minimālā ienākuma mediānas apmēra mēnesī izmaiņām, tajā skai</w:t>
      </w:r>
      <w:r>
        <w:rPr>
          <w:iCs/>
          <w:szCs w:val="24"/>
          <w:lang w:eastAsia="lv-LV"/>
        </w:rPr>
        <w:t>t</w:t>
      </w:r>
      <w:r w:rsidRPr="00617967">
        <w:rPr>
          <w:iCs/>
          <w:szCs w:val="24"/>
          <w:lang w:eastAsia="lv-LV"/>
        </w:rPr>
        <w:t xml:space="preserve">ā minimālās vecuma pensijas izmaksām, minimālās invaliditātes pensijas izmaksām, </w:t>
      </w:r>
      <w:r w:rsidRPr="00617967">
        <w:t xml:space="preserve">garantētā minimālā ienākuma un mājokļa pabalsta līdzfinansējuma pašvaldībām 30% apmērā </w:t>
      </w:r>
      <w:r w:rsidRPr="00617967">
        <w:lastRenderedPageBreak/>
        <w:t xml:space="preserve">saistībā ar jaunajiem minimālo ienākumu sliekšņu apmēriem nodrošināšanai, </w:t>
      </w:r>
      <w:r w:rsidRPr="00617967">
        <w:rPr>
          <w:szCs w:val="24"/>
        </w:rPr>
        <w:t xml:space="preserve">sociālo pakalpojumu pieejamības īstenošanai - sociālo pakalpojumu nodrošināšanai saistībā ar pakalpojumu izmaksu sadārdzinājumu un pakalpojumu pieprasījumu palielināšanos, kā arī sociālo pakalpojumu turpināšanai bērniem ar </w:t>
      </w:r>
      <w:proofErr w:type="spellStart"/>
      <w:r w:rsidRPr="00617967">
        <w:rPr>
          <w:szCs w:val="24"/>
        </w:rPr>
        <w:t>autiskā</w:t>
      </w:r>
      <w:proofErr w:type="spellEnd"/>
      <w:r w:rsidRPr="00617967">
        <w:rPr>
          <w:szCs w:val="24"/>
        </w:rPr>
        <w:t xml:space="preserve"> spektra traucējumiem, kvalitatīvu pakalpojumu nodrošināšanai valsts sociālās aprūpes centros saistībā ar preču un pakalpojumu cenu pieaugumu, </w:t>
      </w:r>
      <w:r w:rsidRPr="00692F2D">
        <w:rPr>
          <w:szCs w:val="24"/>
        </w:rPr>
        <w:t xml:space="preserve">valsts sociālās apdrošināšanas obligāto iemaksu veikšanai </w:t>
      </w:r>
      <w:r w:rsidRPr="00617967">
        <w:rPr>
          <w:iCs/>
          <w:szCs w:val="24"/>
          <w:lang w:eastAsia="lv-LV"/>
        </w:rPr>
        <w:t>par personām</w:t>
      </w:r>
      <w:r w:rsidRPr="00617967">
        <w:rPr>
          <w:iCs/>
          <w:szCs w:val="24"/>
        </w:rPr>
        <w:t xml:space="preserve">, kuras kopj bērnu līdz 1,5 gadu vecumam, un saņem bērna kopšanas pabalstu un vienlaikus vecāku pabalstu, </w:t>
      </w:r>
      <w:r w:rsidRPr="00617967">
        <w:rPr>
          <w:iCs/>
          <w:szCs w:val="24"/>
          <w:lang w:eastAsia="lv-LV"/>
        </w:rPr>
        <w:t xml:space="preserve">valsts sociālā nodrošinājuma pabalsta izmaksām saistībā ar pabalsta saņēmēju skaita un pabalsta vidējā apmēra mēnesī prognozēto palielināšanos, </w:t>
      </w:r>
      <w:r w:rsidRPr="00617967">
        <w:t xml:space="preserve">pabalstam personai ar invaliditāti, kurai nepieciešama kopšana, </w:t>
      </w:r>
      <w:r w:rsidRPr="00617967">
        <w:rPr>
          <w:iCs/>
          <w:szCs w:val="24"/>
          <w:lang w:eastAsia="lv-LV"/>
        </w:rPr>
        <w:t>saistībā ar pabalsta saņēmēju skaita prognozēto palielināšanos, izdienas pensijas izmaksām saistībā ar pensijas saņēmēju skaita un pensijas vidējā apmēra mēnesī prognozēto palielināšanos, piemaks</w:t>
      </w:r>
      <w:r>
        <w:rPr>
          <w:iCs/>
          <w:szCs w:val="24"/>
          <w:lang w:eastAsia="lv-LV"/>
        </w:rPr>
        <w:t>as</w:t>
      </w:r>
      <w:r w:rsidRPr="00617967">
        <w:rPr>
          <w:iCs/>
          <w:szCs w:val="24"/>
          <w:lang w:eastAsia="lv-LV"/>
        </w:rPr>
        <w:t xml:space="preserve"> pie vecuma pensijām izmaksām saistībā ar piemaksas saņēmēju skaita prognozēto palielināšanos, vecuma pensijas izmaksām saistībā ar pensijas saņēmēju skaita un pensijas vidējā apmēra mēnesī prognozēto palielināšanos, pensijas apgādnieka zaudējuma gadījumā izmaksām saistībā ar pensijas vidējā apmēra mēnesī prognozēto palielināšanos, apbedīšanas pabalsta izmaksām saistībā ar pabalsta vidējā apmēra mēnesī prognozēto palielināšanos, pabalsta pensijas saņēmēja nāves gadījumā pārdzīvojušam laulātajam izmaksām saistībā ar pabalsta vidējā apmēra mēnesī prognozēto palielināšanos, bezdarbnieka pabalsta izmaksām saistībā ar pabalsta vidējā apmēra mēnesī un pabalsta saņēmēju skaita prognozēto palielināšanos, slimības pabalsta izmaksām saistībā ar pabalsta vidējā apmēra mēnesī prognozēto palielināšanos, invaliditātes pensijas izmaksām saistībā ar pensijas saņēmēju skaita un pensijas vidējā apmēra mēnesī prognozēto palielināšanos, vecāku pabalsta izmaksām saistībā ar pabalsta vidējā apmēra mēnesī prognozēto palielināšanos u.c.</w:t>
      </w:r>
    </w:p>
    <w:p w14:paraId="758DF269" w14:textId="77777777" w:rsidR="004D417B" w:rsidRDefault="004D417B" w:rsidP="004D417B">
      <w:pPr>
        <w:ind w:firstLine="720"/>
        <w:rPr>
          <w:i/>
        </w:rPr>
      </w:pPr>
    </w:p>
    <w:p w14:paraId="61999928" w14:textId="77777777" w:rsidR="004D417B" w:rsidRPr="00191E4B" w:rsidRDefault="004D417B" w:rsidP="004D417B">
      <w:pPr>
        <w:ind w:firstLine="720"/>
        <w:rPr>
          <w:color w:val="FF0000"/>
          <w:lang w:eastAsia="lv-LV"/>
        </w:rPr>
      </w:pPr>
      <w:r w:rsidRPr="00D514D3">
        <w:rPr>
          <w:i/>
        </w:rPr>
        <w:t>Saskaņā ar izdevumu klasifikāciju atbilstoši ekonomiskajām kategorijām</w:t>
      </w:r>
      <w:r w:rsidRPr="00D514D3">
        <w:t xml:space="preserve"> valsts budžeta izdevumu finansēšanai 202</w:t>
      </w:r>
      <w:r>
        <w:t>5</w:t>
      </w:r>
      <w:r w:rsidRPr="00D514D3">
        <w:t xml:space="preserve">. gadā 1 964,0 milj. </w:t>
      </w:r>
      <w:proofErr w:type="spellStart"/>
      <w:r w:rsidRPr="00D514D3">
        <w:rPr>
          <w:i/>
        </w:rPr>
        <w:t>euro</w:t>
      </w:r>
      <w:proofErr w:type="spellEnd"/>
      <w:r w:rsidRPr="00D514D3">
        <w:t xml:space="preserve"> jeb 11,</w:t>
      </w:r>
      <w:r>
        <w:t>5</w:t>
      </w:r>
      <w:r w:rsidRPr="00D514D3">
        <w:t xml:space="preserve">% no kopējiem izdevumiem paredzēts novirzīt </w:t>
      </w:r>
      <w:r w:rsidRPr="007C4D84">
        <w:rPr>
          <w:i/>
        </w:rPr>
        <w:t>atlīdzībai</w:t>
      </w:r>
      <w:r w:rsidRPr="007C4D84">
        <w:t xml:space="preserve">. Salīdzinot ar 2024. gadu, izdevumi atlīdzībai palielinās par 8,0% jeb 145,6 milj. </w:t>
      </w:r>
      <w:proofErr w:type="spellStart"/>
      <w:r w:rsidRPr="007C4D84">
        <w:rPr>
          <w:i/>
        </w:rPr>
        <w:t>euro</w:t>
      </w:r>
      <w:proofErr w:type="spellEnd"/>
      <w:r w:rsidRPr="007C4D84">
        <w:t xml:space="preserve">. </w:t>
      </w:r>
      <w:r w:rsidRPr="007C4D84">
        <w:rPr>
          <w:szCs w:val="24"/>
        </w:rPr>
        <w:t xml:space="preserve">Izdevumi atlīdzībai palielināti saistībā </w:t>
      </w:r>
      <w:r>
        <w:rPr>
          <w:szCs w:val="24"/>
        </w:rPr>
        <w:t xml:space="preserve">ar </w:t>
      </w:r>
      <w:r w:rsidRPr="007C4D84">
        <w:t>papildus piešķirto finansējumu</w:t>
      </w:r>
      <w:r w:rsidRPr="007C4D84">
        <w:rPr>
          <w:szCs w:val="18"/>
          <w:lang w:eastAsia="lv-LV"/>
        </w:rPr>
        <w:t xml:space="preserve"> atlīdzībai </w:t>
      </w:r>
      <w:proofErr w:type="spellStart"/>
      <w:r w:rsidRPr="007C4D84">
        <w:rPr>
          <w:szCs w:val="18"/>
          <w:lang w:eastAsia="lv-LV"/>
        </w:rPr>
        <w:t>Iekšlietu</w:t>
      </w:r>
      <w:proofErr w:type="spellEnd"/>
      <w:r w:rsidRPr="007C4D84">
        <w:rPr>
          <w:szCs w:val="18"/>
          <w:lang w:eastAsia="lv-LV"/>
        </w:rPr>
        <w:t xml:space="preserve"> dienestu un Ieslodzījuma vietu pārvaldes amatpersonu ar speciālajām dienesta pakāpēm, kā arī Valsts ieņēmumu dienesta Nodokļu un muitas policijas pārvaldes atalgojuma palielināšana</w:t>
      </w:r>
      <w:r>
        <w:rPr>
          <w:szCs w:val="18"/>
          <w:lang w:eastAsia="lv-LV"/>
        </w:rPr>
        <w:t>i</w:t>
      </w:r>
      <w:r w:rsidRPr="007C4D84">
        <w:rPr>
          <w:szCs w:val="18"/>
          <w:lang w:eastAsia="lv-LV"/>
        </w:rPr>
        <w:t xml:space="preserve"> par 10% un jaunās piemaksas ieviešana</w:t>
      </w:r>
      <w:r>
        <w:rPr>
          <w:szCs w:val="18"/>
          <w:lang w:eastAsia="lv-LV"/>
        </w:rPr>
        <w:t>i</w:t>
      </w:r>
      <w:r w:rsidRPr="007C4D84">
        <w:rPr>
          <w:szCs w:val="18"/>
          <w:lang w:eastAsia="lv-LV"/>
        </w:rPr>
        <w:t xml:space="preserve"> par darbu dienestā, Izglītības un zinātnes ministrijai, lai nodrošinātu XIII Latvijas skolu jaunatnes dziesmu un deju svētku norisi, </w:t>
      </w:r>
      <w:r>
        <w:t xml:space="preserve">Krīzes vadības centra kapacitātes nodrošināšanai, </w:t>
      </w:r>
      <w:r w:rsidRPr="00F40AEE">
        <w:rPr>
          <w:rFonts w:eastAsia="Calibri"/>
          <w:bCs/>
          <w:szCs w:val="24"/>
        </w:rPr>
        <w:t xml:space="preserve">Valsts kontroles kapacitātes stiprināšanai publiskā sektora revīzijās, stiprinot </w:t>
      </w:r>
      <w:proofErr w:type="spellStart"/>
      <w:r w:rsidRPr="00F40AEE">
        <w:rPr>
          <w:rFonts w:eastAsia="Calibri"/>
          <w:bCs/>
          <w:szCs w:val="24"/>
        </w:rPr>
        <w:t>cilvēkkapitālu</w:t>
      </w:r>
      <w:proofErr w:type="spellEnd"/>
      <w:r>
        <w:t xml:space="preserve"> un attīstot informācijas tehnoloģijas</w:t>
      </w:r>
      <w:r w:rsidRPr="007C4D84">
        <w:rPr>
          <w:szCs w:val="18"/>
          <w:lang w:eastAsia="lv-LV"/>
        </w:rPr>
        <w:t>, Tieslietu ministrijai konkurētspējīga atalgojuma nodrošināšana</w:t>
      </w:r>
      <w:r>
        <w:rPr>
          <w:szCs w:val="18"/>
          <w:lang w:eastAsia="lv-LV"/>
        </w:rPr>
        <w:t>i</w:t>
      </w:r>
      <w:r w:rsidRPr="007C4D84">
        <w:rPr>
          <w:szCs w:val="18"/>
          <w:lang w:eastAsia="lv-LV"/>
        </w:rPr>
        <w:t xml:space="preserve"> tiesās, kā arī atlīdzībai saistībā ar apcietināto un notiesāto personu konvojēšanas funkcijas pārņemšan</w:t>
      </w:r>
      <w:r>
        <w:rPr>
          <w:szCs w:val="18"/>
          <w:lang w:eastAsia="lv-LV"/>
        </w:rPr>
        <w:t>u</w:t>
      </w:r>
      <w:r w:rsidRPr="007C4D84">
        <w:rPr>
          <w:szCs w:val="18"/>
          <w:lang w:eastAsia="lv-LV"/>
        </w:rPr>
        <w:t xml:space="preserve"> no Valsts policijas,</w:t>
      </w:r>
      <w:r w:rsidRPr="00C7422F">
        <w:t xml:space="preserve"> </w:t>
      </w:r>
      <w:r w:rsidRPr="001B5DB9">
        <w:t>Konkurences padomes amatpersonu (darbinieku) atlīdzības indeksācijai,</w:t>
      </w:r>
      <w:r w:rsidRPr="007C4D84">
        <w:rPr>
          <w:szCs w:val="18"/>
          <w:lang w:eastAsia="lv-LV"/>
        </w:rPr>
        <w:t xml:space="preserve"> atlīdzībai Neatliekamās medicīniskās palīdzības dienesta pamatfunkciju stiprināšana</w:t>
      </w:r>
      <w:r>
        <w:rPr>
          <w:szCs w:val="18"/>
          <w:lang w:eastAsia="lv-LV"/>
        </w:rPr>
        <w:t>i</w:t>
      </w:r>
      <w:r w:rsidRPr="007C4D84">
        <w:rPr>
          <w:szCs w:val="18"/>
          <w:lang w:eastAsia="lv-LV"/>
        </w:rPr>
        <w:t>, tai skaitā gatavība</w:t>
      </w:r>
      <w:r>
        <w:rPr>
          <w:szCs w:val="18"/>
          <w:lang w:eastAsia="lv-LV"/>
        </w:rPr>
        <w:t>i</w:t>
      </w:r>
      <w:r w:rsidRPr="007C4D84">
        <w:rPr>
          <w:szCs w:val="18"/>
          <w:lang w:eastAsia="lv-LV"/>
        </w:rPr>
        <w:t xml:space="preserve"> ārkārtas gadījumiem</w:t>
      </w:r>
      <w:r>
        <w:rPr>
          <w:szCs w:val="18"/>
          <w:lang w:eastAsia="lv-LV"/>
        </w:rPr>
        <w:t xml:space="preserve">, minimālās mēneša darba algas palielināšanai uz 740 </w:t>
      </w:r>
      <w:proofErr w:type="spellStart"/>
      <w:r w:rsidRPr="00C7422F">
        <w:rPr>
          <w:i/>
          <w:iCs/>
          <w:szCs w:val="18"/>
          <w:lang w:eastAsia="lv-LV"/>
        </w:rPr>
        <w:t>euro</w:t>
      </w:r>
      <w:proofErr w:type="spellEnd"/>
      <w:r w:rsidRPr="001B5DB9">
        <w:t xml:space="preserve"> </w:t>
      </w:r>
      <w:r w:rsidRPr="007C4D84">
        <w:rPr>
          <w:szCs w:val="24"/>
        </w:rPr>
        <w:t>u.c.;</w:t>
      </w:r>
    </w:p>
    <w:p w14:paraId="5C958CD7" w14:textId="452C8055" w:rsidR="004D417B" w:rsidRPr="00191E4B" w:rsidRDefault="004D417B" w:rsidP="004D417B">
      <w:pPr>
        <w:ind w:firstLine="720"/>
        <w:rPr>
          <w:color w:val="FF0000"/>
        </w:rPr>
      </w:pPr>
      <w:r w:rsidRPr="00413779">
        <w:t xml:space="preserve">Izdevumi </w:t>
      </w:r>
      <w:r w:rsidRPr="00413779">
        <w:rPr>
          <w:i/>
        </w:rPr>
        <w:t>precēm un pakalpojumiem</w:t>
      </w:r>
      <w:r w:rsidRPr="00413779">
        <w:t xml:space="preserve"> 202</w:t>
      </w:r>
      <w:r>
        <w:t>5</w:t>
      </w:r>
      <w:r w:rsidRPr="00413779">
        <w:t xml:space="preserve">. gadā paredzēti 1 286,5 milj. </w:t>
      </w:r>
      <w:proofErr w:type="spellStart"/>
      <w:r w:rsidRPr="00413779">
        <w:rPr>
          <w:i/>
        </w:rPr>
        <w:t>euro</w:t>
      </w:r>
      <w:proofErr w:type="spellEnd"/>
      <w:r w:rsidRPr="00413779">
        <w:t xml:space="preserve"> jeb </w:t>
      </w:r>
      <w:r>
        <w:t>7,5</w:t>
      </w:r>
      <w:r w:rsidRPr="00413779">
        <w:t>% no kopējiem izdevumiem. Salīdzinot ar 202</w:t>
      </w:r>
      <w:r>
        <w:t>4</w:t>
      </w:r>
      <w:r w:rsidRPr="00413779">
        <w:t xml:space="preserve">. gadu, izdevumi precēm un pakalpojumiem </w:t>
      </w:r>
      <w:r>
        <w:t>palielināti par 29,2</w:t>
      </w:r>
      <w:r w:rsidRPr="00413779">
        <w:t xml:space="preserve">% jeb </w:t>
      </w:r>
      <w:r>
        <w:t>291,0</w:t>
      </w:r>
      <w:r w:rsidRPr="00413779">
        <w:t xml:space="preserve"> milj. </w:t>
      </w:r>
      <w:proofErr w:type="spellStart"/>
      <w:r w:rsidRPr="00413779">
        <w:rPr>
          <w:i/>
        </w:rPr>
        <w:t>euro</w:t>
      </w:r>
      <w:proofErr w:type="spellEnd"/>
      <w:r w:rsidRPr="00413779">
        <w:t xml:space="preserve">. </w:t>
      </w:r>
      <w:r w:rsidRPr="00AB270A">
        <w:t xml:space="preserve">Palielinājums galvenokārt saistīts ar papildu piešķirto finansējumu Aizsardzības ministrijai </w:t>
      </w:r>
      <w:r>
        <w:t>a</w:t>
      </w:r>
      <w:r w:rsidRPr="00AB270A">
        <w:t>tbalstam Ukrainai (atbilstoši noslēgtajam līgumam par militāro atbalstu), munīc</w:t>
      </w:r>
      <w:r>
        <w:t>i</w:t>
      </w:r>
      <w:r w:rsidRPr="00AB270A">
        <w:t>jas krājumu papildināšanai un individuālā ekipējuma nodrošināš</w:t>
      </w:r>
      <w:r>
        <w:t>a</w:t>
      </w:r>
      <w:r w:rsidRPr="00AB270A">
        <w:t xml:space="preserve">nai, papildu radaru iegādei vēja parku attīstībai u.c. aizsardzības spēju stiprināšanai, Izglītības un zinātnes ministrijai XIII Latvijas skolu jaunatnes dziesmu un deju svētku norisei, </w:t>
      </w:r>
      <w:proofErr w:type="spellStart"/>
      <w:r>
        <w:t>I</w:t>
      </w:r>
      <w:r w:rsidRPr="00AB270A">
        <w:t>ekšlietu</w:t>
      </w:r>
      <w:proofErr w:type="spellEnd"/>
      <w:r w:rsidRPr="00AB270A">
        <w:t xml:space="preserve"> ministrijai Valsts </w:t>
      </w:r>
      <w:r w:rsidRPr="008730B7">
        <w:t>drošības dienesta darbības</w:t>
      </w:r>
      <w:r>
        <w:t xml:space="preserve"> </w:t>
      </w:r>
      <w:r w:rsidRPr="008730B7">
        <w:t>prioritāro jomu stiprināšanai, Satversmes aizsardzības biroja darbības nodrošināšanai, Veselības ministrijai, lai Nacionālā</w:t>
      </w:r>
      <w:r>
        <w:t xml:space="preserve"> </w:t>
      </w:r>
      <w:r w:rsidRPr="008730B7">
        <w:t xml:space="preserve">veselības </w:t>
      </w:r>
      <w:r w:rsidRPr="008730B7">
        <w:lastRenderedPageBreak/>
        <w:t>dienest</w:t>
      </w:r>
      <w:r>
        <w:t>a</w:t>
      </w:r>
      <w:r w:rsidRPr="008730B7">
        <w:t xml:space="preserve"> reorganizācijas rezultātā SIA </w:t>
      </w:r>
      <w:r w:rsidR="00A52741">
        <w:t>“</w:t>
      </w:r>
      <w:r w:rsidRPr="008730B7">
        <w:t>Latvijas Digitālās veselības centrs</w:t>
      </w:r>
      <w:r w:rsidR="00A52741">
        <w:t>”</w:t>
      </w:r>
      <w:r w:rsidRPr="008730B7">
        <w:t xml:space="preserve"> īstenotu e-veselības politiku, Ekonomikas ministrijai eksporta veicināšanas un investīciju piesaistes aktivitāšu īstenošanai un Latvijas dalībai starptautiskajā izstādē </w:t>
      </w:r>
      <w:r w:rsidR="00A52741">
        <w:t>“</w:t>
      </w:r>
      <w:r w:rsidRPr="008730B7">
        <w:t>Expo 2025 Osaka</w:t>
      </w:r>
      <w:r w:rsidR="00A52741">
        <w:t>”</w:t>
      </w:r>
      <w:r w:rsidRPr="008730B7">
        <w:t>, kā arī izdevumiem ES politiku instrumentu un pārējās ārvalstu finanšu palīdzības līdzfinansēto projektu un pasākumu īstenošanai u.c.;</w:t>
      </w:r>
    </w:p>
    <w:p w14:paraId="7048F0DD" w14:textId="77777777" w:rsidR="004D417B" w:rsidRPr="00111B53" w:rsidRDefault="004D417B" w:rsidP="004D417B">
      <w:pPr>
        <w:ind w:firstLine="720"/>
      </w:pPr>
      <w:r w:rsidRPr="00111B53">
        <w:rPr>
          <w:i/>
        </w:rPr>
        <w:t>Procentu izdevumiem</w:t>
      </w:r>
      <w:r w:rsidRPr="00111B53">
        <w:t xml:space="preserve"> 2025. gadā paredzēti 507,1 milj. </w:t>
      </w:r>
      <w:proofErr w:type="spellStart"/>
      <w:r w:rsidRPr="00111B53">
        <w:rPr>
          <w:i/>
        </w:rPr>
        <w:t>euro</w:t>
      </w:r>
      <w:proofErr w:type="spellEnd"/>
      <w:r w:rsidRPr="00111B53">
        <w:t xml:space="preserve">. Salīdzinot ar 2024. gadu, to apjoms palielinājies par 145,8 milj. </w:t>
      </w:r>
      <w:proofErr w:type="spellStart"/>
      <w:r w:rsidRPr="00111B53">
        <w:rPr>
          <w:i/>
        </w:rPr>
        <w:t>euro</w:t>
      </w:r>
      <w:proofErr w:type="spellEnd"/>
      <w:r w:rsidRPr="00111B53">
        <w:t xml:space="preserve"> jeb 40,3%, palielinot finansējumu valsts parāda vadībai un procentu maksājumiem studiju un studējošo kreditēšanas normatīvā regulējuma ietvaros;</w:t>
      </w:r>
    </w:p>
    <w:p w14:paraId="394D498B" w14:textId="77777777" w:rsidR="004D417B" w:rsidRDefault="004D417B" w:rsidP="004D417B">
      <w:pPr>
        <w:ind w:firstLine="720"/>
      </w:pPr>
      <w:r w:rsidRPr="005B6D52">
        <w:rPr>
          <w:i/>
        </w:rPr>
        <w:t>Subsīdijām un dotācijām</w:t>
      </w:r>
      <w:r w:rsidRPr="005B6D52">
        <w:t xml:space="preserve"> 202</w:t>
      </w:r>
      <w:r>
        <w:t>5</w:t>
      </w:r>
      <w:r w:rsidRPr="005B6D52">
        <w:t xml:space="preserve">. gadā paredzēti </w:t>
      </w:r>
      <w:r w:rsidRPr="001C2CC5">
        <w:t>4 997,8</w:t>
      </w:r>
      <w:r w:rsidRPr="005B6D52">
        <w:t xml:space="preserve"> milj. </w:t>
      </w:r>
      <w:proofErr w:type="spellStart"/>
      <w:r w:rsidRPr="005B6D52">
        <w:rPr>
          <w:i/>
        </w:rPr>
        <w:t>euro</w:t>
      </w:r>
      <w:proofErr w:type="spellEnd"/>
      <w:r w:rsidRPr="005B6D52">
        <w:t xml:space="preserve"> jeb </w:t>
      </w:r>
      <w:r>
        <w:t>29,2</w:t>
      </w:r>
      <w:r w:rsidRPr="005B6D52">
        <w:t>% no kopējiem izdevumiem. Salīdzinot ar 202</w:t>
      </w:r>
      <w:r>
        <w:t>4</w:t>
      </w:r>
      <w:r w:rsidRPr="005B6D52">
        <w:t xml:space="preserve">. gadu, to apjoms </w:t>
      </w:r>
      <w:r>
        <w:t>samazināts</w:t>
      </w:r>
      <w:r w:rsidRPr="005B6D52">
        <w:t xml:space="preserve"> par </w:t>
      </w:r>
      <w:r>
        <w:t>285,2</w:t>
      </w:r>
      <w:r w:rsidRPr="005B6D52">
        <w:t xml:space="preserve"> milj. </w:t>
      </w:r>
      <w:proofErr w:type="spellStart"/>
      <w:r w:rsidRPr="005B6D52">
        <w:rPr>
          <w:i/>
        </w:rPr>
        <w:t>euro</w:t>
      </w:r>
      <w:proofErr w:type="spellEnd"/>
      <w:r w:rsidRPr="005B6D52">
        <w:t xml:space="preserve"> jeb </w:t>
      </w:r>
      <w:r>
        <w:t>5,4</w:t>
      </w:r>
      <w:r w:rsidRPr="005B6D52">
        <w:t xml:space="preserve">%. </w:t>
      </w:r>
      <w:r w:rsidRPr="00B424E3">
        <w:t xml:space="preserve">Samazinājums galvenokārt saistīts ar budžeta 74. resora 09.00.00 programmā “Valsts nozīmes reformas īstenošanai”, </w:t>
      </w:r>
      <w:r w:rsidRPr="00B424E3">
        <w:rPr>
          <w:rFonts w:eastAsia="Calibri"/>
          <w:bCs/>
          <w:iCs/>
          <w:szCs w:val="24"/>
        </w:rPr>
        <w:t>18.00.00 programmā “Finansējums valsts drošības stiprināšanas pasākumiem”, 19.00.00 programmā “Finansējums energoresursu un ēdināšanas izdevumu pieauguma kompensēšanai”</w:t>
      </w:r>
      <w:r w:rsidRPr="00B424E3">
        <w:t xml:space="preserve">, 20.00.00 programmā “Veselības aprūpes pasākumu īstenošana”, 23.00.00 programmā “Valsts atbalsta programmas”, </w:t>
      </w:r>
      <w:r w:rsidRPr="00CF4E80">
        <w:t>80.00.00 programmā “Nesadalītais finansējums Eiropas Savienības politiku instrumentu un pārējās ārvalstu finanšu palīdzības līdzfinansēto projektu un pasākumu īstenošanai”</w:t>
      </w:r>
      <w:r>
        <w:t xml:space="preserve"> plānoto finansējumu un arī tā pārdali uz citiem budžeta resoriem citos izdevumu kodos atbilstoši ekonomiskajām kategorijām</w:t>
      </w:r>
      <w:r w:rsidRPr="00191E4B">
        <w:rPr>
          <w:color w:val="FF0000"/>
        </w:rPr>
        <w:t xml:space="preserve"> </w:t>
      </w:r>
      <w:r w:rsidRPr="00CF4E80">
        <w:t xml:space="preserve">u.c.; </w:t>
      </w:r>
    </w:p>
    <w:p w14:paraId="7898091A" w14:textId="77777777" w:rsidR="004D417B" w:rsidRPr="008C7B14" w:rsidRDefault="004D417B" w:rsidP="004D417B">
      <w:pPr>
        <w:spacing w:before="240"/>
        <w:ind w:firstLine="0"/>
        <w:jc w:val="center"/>
        <w:rPr>
          <w:b/>
          <w:i/>
        </w:rPr>
      </w:pPr>
      <w:r>
        <w:rPr>
          <w:b/>
          <w:i/>
        </w:rPr>
        <w:t>5.2</w:t>
      </w:r>
      <w:r w:rsidRPr="00602581">
        <w:rPr>
          <w:b/>
          <w:i/>
        </w:rPr>
        <w:t>. attēls</w:t>
      </w:r>
      <w:r w:rsidRPr="00325DFA">
        <w:rPr>
          <w:b/>
          <w:i/>
        </w:rPr>
        <w:t xml:space="preserve"> </w:t>
      </w:r>
      <w:r w:rsidRPr="00602581">
        <w:rPr>
          <w:b/>
        </w:rPr>
        <w:t>Valsts budžeta izdevumi atbilstoši ekonomiskajām kategorijām no 202</w:t>
      </w:r>
      <w:r>
        <w:rPr>
          <w:b/>
        </w:rPr>
        <w:t>4</w:t>
      </w:r>
      <w:r w:rsidRPr="00602581">
        <w:rPr>
          <w:b/>
        </w:rPr>
        <w:t>. līdz 202</w:t>
      </w:r>
      <w:r>
        <w:rPr>
          <w:b/>
        </w:rPr>
        <w:t>7</w:t>
      </w:r>
      <w:r w:rsidRPr="00602581">
        <w:rPr>
          <w:b/>
        </w:rPr>
        <w:t>. gadam, milj.</w:t>
      </w:r>
      <w:r w:rsidRPr="007B244F">
        <w:rPr>
          <w:b/>
          <w:i/>
        </w:rPr>
        <w:t xml:space="preserve"> </w:t>
      </w:r>
      <w:proofErr w:type="spellStart"/>
      <w:r w:rsidRPr="007B244F">
        <w:rPr>
          <w:b/>
          <w:i/>
        </w:rPr>
        <w:t>euro</w:t>
      </w:r>
      <w:proofErr w:type="spellEnd"/>
    </w:p>
    <w:p w14:paraId="7BA2288C" w14:textId="77777777" w:rsidR="004D417B" w:rsidRDefault="004D417B" w:rsidP="004D417B">
      <w:pPr>
        <w:ind w:firstLine="0"/>
        <w:rPr>
          <w:i/>
          <w:szCs w:val="24"/>
        </w:rPr>
      </w:pPr>
      <w:r>
        <w:rPr>
          <w:noProof/>
          <w:lang w:eastAsia="lv-LV"/>
        </w:rPr>
        <w:drawing>
          <wp:inline distT="0" distB="0" distL="0" distR="0" wp14:anchorId="3459D14C" wp14:editId="6F540F0A">
            <wp:extent cx="5760085" cy="4387850"/>
            <wp:effectExtent l="0" t="0" r="12065" b="12700"/>
            <wp:docPr id="610874738" name="Chart 1">
              <a:extLst xmlns:a="http://schemas.openxmlformats.org/drawingml/2006/main">
                <a:ext uri="{FF2B5EF4-FFF2-40B4-BE49-F238E27FC236}">
                  <a16:creationId xmlns:a16="http://schemas.microsoft.com/office/drawing/2014/main"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6FA77AD" w14:textId="77777777" w:rsidR="004D417B" w:rsidRPr="00191E4B" w:rsidRDefault="004D417B" w:rsidP="004D417B">
      <w:pPr>
        <w:ind w:firstLine="720"/>
        <w:rPr>
          <w:color w:val="FF0000"/>
        </w:rPr>
      </w:pPr>
    </w:p>
    <w:p w14:paraId="21CDE238" w14:textId="77777777" w:rsidR="004D417B" w:rsidRPr="00497BA3" w:rsidRDefault="004D417B" w:rsidP="004D417B">
      <w:pPr>
        <w:ind w:firstLine="720"/>
        <w:rPr>
          <w:szCs w:val="24"/>
          <w:lang w:eastAsia="lv-LV"/>
        </w:rPr>
      </w:pPr>
      <w:r w:rsidRPr="00F301CA">
        <w:rPr>
          <w:i/>
        </w:rPr>
        <w:lastRenderedPageBreak/>
        <w:t xml:space="preserve">Sociāla rakstura maksājumiem un kompensācijām </w:t>
      </w:r>
      <w:r w:rsidRPr="00F301CA">
        <w:t>202</w:t>
      </w:r>
      <w:r>
        <w:t>5</w:t>
      </w:r>
      <w:r w:rsidRPr="00F301CA">
        <w:t xml:space="preserve">. gadā paredzēti </w:t>
      </w:r>
      <w:r w:rsidRPr="00D34052">
        <w:t>5 372,6</w:t>
      </w:r>
      <w:r w:rsidRPr="00F301CA">
        <w:t xml:space="preserve"> milj. </w:t>
      </w:r>
      <w:proofErr w:type="spellStart"/>
      <w:r w:rsidRPr="00F301CA">
        <w:rPr>
          <w:i/>
        </w:rPr>
        <w:t>euro</w:t>
      </w:r>
      <w:proofErr w:type="spellEnd"/>
      <w:r w:rsidRPr="00F301CA">
        <w:t xml:space="preserve"> jeb 3</w:t>
      </w:r>
      <w:r>
        <w:t>1,4</w:t>
      </w:r>
      <w:r w:rsidRPr="00F301CA">
        <w:t>% no kopējiem izdevumiem. Salīdzinot ar 202</w:t>
      </w:r>
      <w:r>
        <w:t>4</w:t>
      </w:r>
      <w:r w:rsidRPr="00F301CA">
        <w:t xml:space="preserve">. gadu, to apjoms palielinājies par </w:t>
      </w:r>
      <w:r>
        <w:t>430,6</w:t>
      </w:r>
      <w:r w:rsidRPr="00F301CA">
        <w:t xml:space="preserve"> milj. </w:t>
      </w:r>
      <w:proofErr w:type="spellStart"/>
      <w:r w:rsidRPr="00F301CA">
        <w:rPr>
          <w:i/>
        </w:rPr>
        <w:t>euro</w:t>
      </w:r>
      <w:proofErr w:type="spellEnd"/>
      <w:r w:rsidRPr="00F301CA">
        <w:rPr>
          <w:i/>
        </w:rPr>
        <w:t xml:space="preserve"> </w:t>
      </w:r>
      <w:r w:rsidRPr="00F301CA">
        <w:t xml:space="preserve">jeb </w:t>
      </w:r>
      <w:r>
        <w:t>8,7</w:t>
      </w:r>
      <w:r w:rsidRPr="00F301CA">
        <w:t xml:space="preserve">%. </w:t>
      </w:r>
      <w:r w:rsidRPr="00265A08">
        <w:rPr>
          <w:szCs w:val="24"/>
          <w:lang w:eastAsia="lv-LV"/>
        </w:rPr>
        <w:t>Izdevumu palielinājums</w:t>
      </w:r>
      <w:r w:rsidRPr="00265A08">
        <w:t xml:space="preserve"> </w:t>
      </w:r>
      <w:r>
        <w:t xml:space="preserve">galvenokārt paredzēts </w:t>
      </w:r>
      <w:r w:rsidRPr="00265A08">
        <w:t xml:space="preserve">slimības </w:t>
      </w:r>
      <w:r>
        <w:t xml:space="preserve">pabalsta izmaksām </w:t>
      </w:r>
      <w:r w:rsidRPr="00265A08">
        <w:t xml:space="preserve">saistībā ar pabalsta vidējā apmēra mēnesī prognozēto palielināšanos, </w:t>
      </w:r>
      <w:r w:rsidRPr="00ED17D7">
        <w:rPr>
          <w:szCs w:val="24"/>
        </w:rPr>
        <w:t xml:space="preserve">vecuma pensijas </w:t>
      </w:r>
      <w:r w:rsidRPr="00ED17D7">
        <w:t>izmaksām saistībā ar pensijas vidējā apmēra mēnesī</w:t>
      </w:r>
      <w:r>
        <w:t xml:space="preserve"> un pensijas saņēmēju skaita vidēji mēnesī prognozēto palielināšanos</w:t>
      </w:r>
      <w:r w:rsidRPr="00ED17D7">
        <w:t xml:space="preserve">, </w:t>
      </w:r>
      <w:r w:rsidRPr="003D0A55">
        <w:t xml:space="preserve">bezdarbnieka pabalsta izmaksām saistībā ar pabalsta vidējā apmēra mēnesī </w:t>
      </w:r>
      <w:r>
        <w:t xml:space="preserve">un pabalsta saņēmēju skaita vidēji mēnesī </w:t>
      </w:r>
      <w:r w:rsidRPr="003D0A55">
        <w:t>prognozēto palielināšanos</w:t>
      </w:r>
      <w:r w:rsidRPr="007936C0">
        <w:t xml:space="preserve">, </w:t>
      </w:r>
      <w:r w:rsidRPr="007936C0">
        <w:rPr>
          <w:szCs w:val="24"/>
        </w:rPr>
        <w:t xml:space="preserve">vecāku pabalsta </w:t>
      </w:r>
      <w:r w:rsidRPr="007936C0">
        <w:rPr>
          <w:szCs w:val="24"/>
          <w:lang w:eastAsia="lv-LV"/>
        </w:rPr>
        <w:t>izmaksām saistībā ar pabalsta vidējā apmēra mēnesī prognozēto palielināšanos,</w:t>
      </w:r>
      <w:r>
        <w:rPr>
          <w:szCs w:val="24"/>
          <w:lang w:eastAsia="lv-LV"/>
        </w:rPr>
        <w:t xml:space="preserve"> </w:t>
      </w:r>
      <w:bookmarkStart w:id="1" w:name="_Hlk148978259"/>
      <w:r w:rsidRPr="00FE1C76">
        <w:t xml:space="preserve">valsts sociālā nodrošinājuma pabalsta izmaksām saistībā ar pabalsta saņēmēju skaita </w:t>
      </w:r>
      <w:r>
        <w:t xml:space="preserve">vidēji mēnesī </w:t>
      </w:r>
      <w:r w:rsidRPr="00FE1C76">
        <w:t xml:space="preserve">un pabalsta vidējā apmēra mēnesī prognozēto </w:t>
      </w:r>
      <w:r w:rsidRPr="00903F0C">
        <w:t>palielināšanos</w:t>
      </w:r>
      <w:bookmarkEnd w:id="1"/>
      <w:r w:rsidRPr="00903F0C">
        <w:t xml:space="preserve">, atbalstam minimālo ienākumu palielināšanai, pabalstam personai ar invaliditāti, </w:t>
      </w:r>
      <w:r w:rsidRPr="00292099">
        <w:t>kurai nepieciešama kopšana</w:t>
      </w:r>
      <w:r>
        <w:t xml:space="preserve"> </w:t>
      </w:r>
      <w:r w:rsidRPr="00292099">
        <w:t>saistībā ar pabalsta saņēmēju skaita vidēji mēnesī palielināšanos</w:t>
      </w:r>
      <w:r>
        <w:t xml:space="preserve">, </w:t>
      </w:r>
      <w:r w:rsidRPr="00FC3769">
        <w:rPr>
          <w:szCs w:val="24"/>
          <w:lang w:eastAsia="lv-LV"/>
        </w:rPr>
        <w:t>pensiju indeksācijas mehānisma īstenošanai, atbalsta</w:t>
      </w:r>
      <w:r>
        <w:rPr>
          <w:szCs w:val="24"/>
          <w:lang w:eastAsia="lv-LV"/>
        </w:rPr>
        <w:t xml:space="preserve"> </w:t>
      </w:r>
      <w:r w:rsidRPr="00FC3769">
        <w:rPr>
          <w:szCs w:val="24"/>
          <w:lang w:eastAsia="lv-LV"/>
        </w:rPr>
        <w:t xml:space="preserve">izmaksai hipotekārā kredīta ņēmējiem </w:t>
      </w:r>
      <w:r w:rsidRPr="00FC3769">
        <w:rPr>
          <w:szCs w:val="24"/>
        </w:rPr>
        <w:t>u.c</w:t>
      </w:r>
      <w:r w:rsidRPr="00497BA3">
        <w:rPr>
          <w:szCs w:val="24"/>
        </w:rPr>
        <w:t>.</w:t>
      </w:r>
      <w:r w:rsidRPr="00497BA3">
        <w:rPr>
          <w:szCs w:val="24"/>
          <w:lang w:eastAsia="lv-LV"/>
        </w:rPr>
        <w:t>;</w:t>
      </w:r>
    </w:p>
    <w:p w14:paraId="726C44EC" w14:textId="77777777" w:rsidR="004D417B" w:rsidRPr="00191E4B" w:rsidRDefault="004D417B" w:rsidP="004D417B">
      <w:pPr>
        <w:ind w:firstLine="720"/>
        <w:rPr>
          <w:color w:val="FF0000"/>
        </w:rPr>
      </w:pPr>
      <w:r w:rsidRPr="0022515A">
        <w:rPr>
          <w:i/>
        </w:rPr>
        <w:t>Kārtējie maksājumi Eiropas Savienības budžetā un izdevumi starptautiskajai sadarbībai</w:t>
      </w:r>
      <w:r w:rsidRPr="0022515A">
        <w:t xml:space="preserve"> 202</w:t>
      </w:r>
      <w:r>
        <w:t>5</w:t>
      </w:r>
      <w:r w:rsidRPr="0022515A">
        <w:t>. gadā plānoti 4</w:t>
      </w:r>
      <w:r>
        <w:t>15,5</w:t>
      </w:r>
      <w:r w:rsidRPr="0022515A">
        <w:t xml:space="preserve"> milj. </w:t>
      </w:r>
      <w:proofErr w:type="spellStart"/>
      <w:r w:rsidRPr="0022515A">
        <w:rPr>
          <w:i/>
        </w:rPr>
        <w:t>euro</w:t>
      </w:r>
      <w:proofErr w:type="spellEnd"/>
      <w:r w:rsidRPr="0022515A">
        <w:t xml:space="preserve"> apmērā jeb 2,</w:t>
      </w:r>
      <w:r>
        <w:t>4</w:t>
      </w:r>
      <w:r w:rsidRPr="0022515A">
        <w:t>% no kopējiem izdevumiem. Salīdzinot ar 202</w:t>
      </w:r>
      <w:r>
        <w:t>4</w:t>
      </w:r>
      <w:r w:rsidRPr="0022515A">
        <w:t xml:space="preserve">. gadu, to apjoms </w:t>
      </w:r>
      <w:r>
        <w:t>samazināts</w:t>
      </w:r>
      <w:r w:rsidRPr="0022515A">
        <w:t xml:space="preserve"> par </w:t>
      </w:r>
      <w:r>
        <w:t>10,4</w:t>
      </w:r>
      <w:r w:rsidRPr="0022515A">
        <w:t xml:space="preserve">% jeb </w:t>
      </w:r>
      <w:r>
        <w:t>48,3</w:t>
      </w:r>
      <w:r w:rsidRPr="0022515A">
        <w:t xml:space="preserve"> milj. </w:t>
      </w:r>
      <w:proofErr w:type="spellStart"/>
      <w:r w:rsidRPr="00F62D6F">
        <w:rPr>
          <w:i/>
        </w:rPr>
        <w:t>euro</w:t>
      </w:r>
      <w:proofErr w:type="spellEnd"/>
      <w:r w:rsidRPr="00F62D6F">
        <w:t>. Samazinājums paredzēts kārtējiem maksājumiem ES budžetā atbilstoši precizētajām prognozēm u.c.;</w:t>
      </w:r>
    </w:p>
    <w:p w14:paraId="3E9D15FC" w14:textId="77777777" w:rsidR="004D417B" w:rsidRPr="000F462C" w:rsidRDefault="004D417B" w:rsidP="004D417B">
      <w:pPr>
        <w:ind w:firstLine="720"/>
        <w:rPr>
          <w:color w:val="FF0000"/>
          <w:szCs w:val="24"/>
          <w:lang w:eastAsia="lv-LV"/>
        </w:rPr>
      </w:pPr>
      <w:proofErr w:type="spellStart"/>
      <w:r w:rsidRPr="00480B05">
        <w:rPr>
          <w:i/>
          <w:szCs w:val="24"/>
        </w:rPr>
        <w:t>Transfertiem</w:t>
      </w:r>
      <w:proofErr w:type="spellEnd"/>
      <w:r w:rsidRPr="00480B05">
        <w:rPr>
          <w:i/>
          <w:szCs w:val="24"/>
        </w:rPr>
        <w:t xml:space="preserve"> viena budžeta ietvaros un uzturēšanas izdevumu</w:t>
      </w:r>
      <w:r w:rsidRPr="00480B05">
        <w:rPr>
          <w:szCs w:val="24"/>
        </w:rPr>
        <w:t xml:space="preserve"> </w:t>
      </w:r>
      <w:proofErr w:type="spellStart"/>
      <w:r w:rsidRPr="00480B05">
        <w:rPr>
          <w:i/>
          <w:szCs w:val="24"/>
        </w:rPr>
        <w:t>transfertiem</w:t>
      </w:r>
      <w:proofErr w:type="spellEnd"/>
      <w:r w:rsidRPr="00480B05">
        <w:rPr>
          <w:i/>
          <w:szCs w:val="24"/>
        </w:rPr>
        <w:t xml:space="preserve"> starp budžeta veidiem</w:t>
      </w:r>
      <w:r w:rsidRPr="00480B05">
        <w:rPr>
          <w:szCs w:val="24"/>
        </w:rPr>
        <w:t xml:space="preserve"> </w:t>
      </w:r>
      <w:r w:rsidRPr="00480B05">
        <w:t xml:space="preserve">2025. gadā </w:t>
      </w:r>
      <w:r w:rsidRPr="00480B05">
        <w:rPr>
          <w:szCs w:val="24"/>
        </w:rPr>
        <w:t>paredzēti 1</w:t>
      </w:r>
      <w:r>
        <w:rPr>
          <w:szCs w:val="24"/>
        </w:rPr>
        <w:t> 447,6</w:t>
      </w:r>
      <w:r w:rsidRPr="00480B05">
        <w:rPr>
          <w:szCs w:val="24"/>
        </w:rPr>
        <w:t xml:space="preserve"> milj. </w:t>
      </w:r>
      <w:proofErr w:type="spellStart"/>
      <w:r w:rsidRPr="00480B05">
        <w:rPr>
          <w:i/>
          <w:szCs w:val="24"/>
        </w:rPr>
        <w:t>euro</w:t>
      </w:r>
      <w:proofErr w:type="spellEnd"/>
      <w:r w:rsidRPr="00480B05">
        <w:rPr>
          <w:i/>
          <w:szCs w:val="24"/>
        </w:rPr>
        <w:t xml:space="preserve"> </w:t>
      </w:r>
      <w:r w:rsidRPr="00480B05">
        <w:rPr>
          <w:szCs w:val="24"/>
        </w:rPr>
        <w:t xml:space="preserve">jeb </w:t>
      </w:r>
      <w:r>
        <w:rPr>
          <w:szCs w:val="24"/>
        </w:rPr>
        <w:t>8,5</w:t>
      </w:r>
      <w:r w:rsidRPr="00480B05">
        <w:rPr>
          <w:szCs w:val="24"/>
        </w:rPr>
        <w:t>% no kopējiem izdevumiem. Salīdzinot ar 202</w:t>
      </w:r>
      <w:r>
        <w:rPr>
          <w:szCs w:val="24"/>
        </w:rPr>
        <w:t>4</w:t>
      </w:r>
      <w:r w:rsidRPr="00480B05">
        <w:rPr>
          <w:szCs w:val="24"/>
        </w:rPr>
        <w:t xml:space="preserve">. gadu, to apjoms palielināts par </w:t>
      </w:r>
      <w:r>
        <w:rPr>
          <w:szCs w:val="24"/>
        </w:rPr>
        <w:t>174,2</w:t>
      </w:r>
      <w:r w:rsidRPr="00480B05">
        <w:rPr>
          <w:szCs w:val="24"/>
        </w:rPr>
        <w:t xml:space="preserve"> milj. </w:t>
      </w:r>
      <w:proofErr w:type="spellStart"/>
      <w:r w:rsidRPr="00480B05">
        <w:rPr>
          <w:i/>
          <w:szCs w:val="24"/>
        </w:rPr>
        <w:t>euro</w:t>
      </w:r>
      <w:proofErr w:type="spellEnd"/>
      <w:r w:rsidRPr="00480B05">
        <w:rPr>
          <w:szCs w:val="24"/>
        </w:rPr>
        <w:t xml:space="preserve"> jeb </w:t>
      </w:r>
      <w:r>
        <w:rPr>
          <w:szCs w:val="24"/>
        </w:rPr>
        <w:t>13,7</w:t>
      </w:r>
      <w:r w:rsidRPr="00480B05">
        <w:rPr>
          <w:szCs w:val="24"/>
        </w:rPr>
        <w:t xml:space="preserve">%. </w:t>
      </w:r>
      <w:r w:rsidRPr="001A2C1F">
        <w:rPr>
          <w:szCs w:val="24"/>
        </w:rPr>
        <w:t>Tai skaitā paredzēts papildu finansējums</w:t>
      </w:r>
      <w:r w:rsidRPr="001A2C1F">
        <w:rPr>
          <w:szCs w:val="24"/>
          <w:lang w:eastAsia="lv-LV"/>
        </w:rPr>
        <w:t xml:space="preserve"> </w:t>
      </w:r>
      <w:r>
        <w:t xml:space="preserve">dotācijai pašvaldību autonomo funkciju izpildei saistībā ar nodokļu politikas izmaiņām starp pašvaldību budžetiem un valsts budžetu (22%/78%), </w:t>
      </w:r>
      <w:r w:rsidRPr="00443DA2">
        <w:rPr>
          <w:szCs w:val="24"/>
          <w:lang w:eastAsia="lv-LV"/>
        </w:rPr>
        <w:t>asistenta pakalpojumu</w:t>
      </w:r>
      <w:r>
        <w:rPr>
          <w:szCs w:val="24"/>
          <w:lang w:eastAsia="lv-LV"/>
        </w:rPr>
        <w:t xml:space="preserve"> nodrošināšanai, </w:t>
      </w:r>
      <w:r w:rsidRPr="00660D30">
        <w:rPr>
          <w:szCs w:val="24"/>
          <w:lang w:eastAsia="lv-LV"/>
        </w:rPr>
        <w:t>mājokļa pabalsta līdzfinansējumu pašvaldībām 30% apmērā</w:t>
      </w:r>
      <w:r>
        <w:rPr>
          <w:szCs w:val="24"/>
          <w:lang w:eastAsia="lv-LV"/>
        </w:rPr>
        <w:t>,</w:t>
      </w:r>
      <w:r w:rsidRPr="00660D30">
        <w:rPr>
          <w:szCs w:val="24"/>
          <w:lang w:eastAsia="lv-LV"/>
        </w:rPr>
        <w:t xml:space="preserve"> </w:t>
      </w:r>
      <w:r>
        <w:rPr>
          <w:szCs w:val="24"/>
          <w:lang w:eastAsia="lv-LV"/>
        </w:rPr>
        <w:t xml:space="preserve">atbalstam minimālo ienākumu palielināšanai, </w:t>
      </w:r>
      <w:r w:rsidRPr="00C06385">
        <w:rPr>
          <w:szCs w:val="24"/>
          <w:lang w:eastAsia="lv-LV"/>
        </w:rPr>
        <w:t xml:space="preserve">augstākās izglītības institucionālā finansējuma </w:t>
      </w:r>
      <w:proofErr w:type="spellStart"/>
      <w:r w:rsidRPr="00C06385">
        <w:rPr>
          <w:szCs w:val="24"/>
          <w:lang w:eastAsia="lv-LV"/>
        </w:rPr>
        <w:t>izmēģinājumprojekta</w:t>
      </w:r>
      <w:proofErr w:type="spellEnd"/>
      <w:r w:rsidRPr="00C06385">
        <w:rPr>
          <w:szCs w:val="24"/>
          <w:lang w:eastAsia="lv-LV"/>
        </w:rPr>
        <w:t xml:space="preserve"> ieviešanai</w:t>
      </w:r>
      <w:r>
        <w:rPr>
          <w:szCs w:val="24"/>
          <w:lang w:eastAsia="lv-LV"/>
        </w:rPr>
        <w:t xml:space="preserve">, </w:t>
      </w:r>
      <w:proofErr w:type="spellStart"/>
      <w:r w:rsidRPr="0094751A">
        <w:rPr>
          <w:szCs w:val="24"/>
          <w:lang w:eastAsia="lv-LV"/>
        </w:rPr>
        <w:t>mikrokvalifikāciju</w:t>
      </w:r>
      <w:proofErr w:type="spellEnd"/>
      <w:r w:rsidRPr="0094751A">
        <w:rPr>
          <w:szCs w:val="24"/>
          <w:lang w:eastAsia="lv-LV"/>
        </w:rPr>
        <w:t xml:space="preserve"> </w:t>
      </w:r>
      <w:proofErr w:type="spellStart"/>
      <w:r w:rsidRPr="0094751A">
        <w:rPr>
          <w:szCs w:val="24"/>
          <w:lang w:eastAsia="lv-LV"/>
        </w:rPr>
        <w:t>izmēģinājumprojekta</w:t>
      </w:r>
      <w:proofErr w:type="spellEnd"/>
      <w:r w:rsidRPr="0094751A">
        <w:rPr>
          <w:szCs w:val="24"/>
          <w:lang w:eastAsia="lv-LV"/>
        </w:rPr>
        <w:t xml:space="preserve"> ieviešanai, studējošo, absolventu un bez diploma </w:t>
      </w:r>
      <w:proofErr w:type="spellStart"/>
      <w:r w:rsidRPr="0094751A">
        <w:rPr>
          <w:szCs w:val="24"/>
          <w:lang w:eastAsia="lv-LV"/>
        </w:rPr>
        <w:t>eksmatrikulēto</w:t>
      </w:r>
      <w:proofErr w:type="spellEnd"/>
      <w:r w:rsidRPr="0094751A">
        <w:rPr>
          <w:szCs w:val="24"/>
          <w:lang w:eastAsia="lv-LV"/>
        </w:rPr>
        <w:t xml:space="preserve"> aptaujai un snieguma finansējuma īpatsvara pakāpeniskai palielināšanai augstākajā izglītībā un zinātnē</w:t>
      </w:r>
      <w:r>
        <w:rPr>
          <w:szCs w:val="24"/>
          <w:lang w:eastAsia="lv-LV"/>
        </w:rPr>
        <w:t xml:space="preserve"> un zinātnes bāzes finansējuma pieaugumam,</w:t>
      </w:r>
      <w:r w:rsidRPr="00C06385">
        <w:rPr>
          <w:szCs w:val="24"/>
          <w:lang w:eastAsia="lv-LV"/>
        </w:rPr>
        <w:t xml:space="preserve"> </w:t>
      </w:r>
      <w:r>
        <w:t>kā arī</w:t>
      </w:r>
      <w:r w:rsidRPr="00AB270A">
        <w:t xml:space="preserve"> izdevumiem ES </w:t>
      </w:r>
      <w:r w:rsidRPr="00F62D6F">
        <w:t>politiku instrumentu un pārējās ārvalstu finanšu palīdzības līdzfinansēto projektu un pasākumu īstenošanai</w:t>
      </w:r>
      <w:r w:rsidRPr="00F62D6F">
        <w:rPr>
          <w:szCs w:val="24"/>
        </w:rPr>
        <w:t xml:space="preserve"> </w:t>
      </w:r>
      <w:r w:rsidRPr="00F62D6F">
        <w:rPr>
          <w:szCs w:val="24"/>
          <w:lang w:eastAsia="lv-LV"/>
        </w:rPr>
        <w:t>u.c.;</w:t>
      </w:r>
    </w:p>
    <w:p w14:paraId="2B612EF4" w14:textId="77777777" w:rsidR="004D417B" w:rsidRPr="000F462C" w:rsidRDefault="004D417B" w:rsidP="004D417B">
      <w:pPr>
        <w:ind w:firstLine="720"/>
        <w:rPr>
          <w:color w:val="FF0000"/>
        </w:rPr>
      </w:pPr>
      <w:r w:rsidRPr="00B307AA">
        <w:rPr>
          <w:i/>
        </w:rPr>
        <w:t>Kapitālajiem izdevumiem</w:t>
      </w:r>
      <w:r w:rsidRPr="00B307AA">
        <w:t xml:space="preserve"> 202</w:t>
      </w:r>
      <w:r>
        <w:t>5</w:t>
      </w:r>
      <w:r w:rsidRPr="00B307AA">
        <w:t xml:space="preserve">. gadā paredzēti </w:t>
      </w:r>
      <w:r w:rsidRPr="00CD7C12">
        <w:t>1 102,1</w:t>
      </w:r>
      <w:r w:rsidRPr="00B307AA">
        <w:t xml:space="preserve"> milj. </w:t>
      </w:r>
      <w:proofErr w:type="spellStart"/>
      <w:r w:rsidRPr="00B307AA">
        <w:rPr>
          <w:i/>
        </w:rPr>
        <w:t>euro</w:t>
      </w:r>
      <w:proofErr w:type="spellEnd"/>
      <w:r w:rsidRPr="00B307AA">
        <w:rPr>
          <w:i/>
        </w:rPr>
        <w:t xml:space="preserve"> </w:t>
      </w:r>
      <w:r w:rsidRPr="00B307AA">
        <w:t>jeb 6,</w:t>
      </w:r>
      <w:r>
        <w:t>4</w:t>
      </w:r>
      <w:r w:rsidRPr="00B307AA">
        <w:t>% no kopējiem izdevumiem. Salīdzinot ar 202</w:t>
      </w:r>
      <w:r>
        <w:t>4</w:t>
      </w:r>
      <w:r w:rsidRPr="00B307AA">
        <w:t>. gadu, tie palielināti par 2</w:t>
      </w:r>
      <w:r>
        <w:t>3,0</w:t>
      </w:r>
      <w:r w:rsidRPr="00B307AA">
        <w:t xml:space="preserve"> milj. </w:t>
      </w:r>
      <w:proofErr w:type="spellStart"/>
      <w:r w:rsidRPr="00B307AA">
        <w:rPr>
          <w:i/>
        </w:rPr>
        <w:t>euro</w:t>
      </w:r>
      <w:proofErr w:type="spellEnd"/>
      <w:r w:rsidRPr="00B307AA">
        <w:t xml:space="preserve"> jeb 2</w:t>
      </w:r>
      <w:r>
        <w:t>,1</w:t>
      </w:r>
      <w:r w:rsidRPr="0087457D">
        <w:t xml:space="preserve">%, kas galvenokārt saistīts ar </w:t>
      </w:r>
      <w:r>
        <w:t xml:space="preserve">izdevumiem valsts autoceļu uzturēšanai un atjaunošanai un izdevumiem </w:t>
      </w:r>
      <w:proofErr w:type="spellStart"/>
      <w:r w:rsidRPr="00811051">
        <w:t>Iekšlietu</w:t>
      </w:r>
      <w:proofErr w:type="spellEnd"/>
      <w:r w:rsidRPr="00811051">
        <w:t xml:space="preserve"> ministrijai katastrofu pārvaldības centru būvniecība</w:t>
      </w:r>
      <w:r>
        <w:t>i</w:t>
      </w:r>
      <w:r w:rsidRPr="00811051">
        <w:t xml:space="preserve"> Rīgā (Bolderājā), Jūrmalā (Dzintaros)</w:t>
      </w:r>
      <w:r>
        <w:t>,</w:t>
      </w:r>
      <w:r w:rsidRPr="00811051">
        <w:t xml:space="preserve"> Kuldīgā</w:t>
      </w:r>
      <w:r w:rsidRPr="00811051">
        <w:rPr>
          <w:i/>
          <w:szCs w:val="18"/>
          <w:lang w:eastAsia="lv-LV"/>
        </w:rPr>
        <w:t xml:space="preserve"> </w:t>
      </w:r>
      <w:r w:rsidRPr="00811051">
        <w:t>u.c.</w:t>
      </w:r>
    </w:p>
    <w:p w14:paraId="4A530847" w14:textId="77777777" w:rsidR="004D417B" w:rsidRPr="00C75EA5" w:rsidRDefault="004D417B" w:rsidP="004D417B">
      <w:pPr>
        <w:spacing w:before="240" w:after="240"/>
        <w:ind w:firstLine="0"/>
        <w:rPr>
          <w:b/>
          <w:u w:val="single"/>
        </w:rPr>
      </w:pPr>
      <w:r w:rsidRPr="00C75EA5">
        <w:rPr>
          <w:b/>
          <w:u w:val="single"/>
        </w:rPr>
        <w:t>I. Valsts pamatbudžeta un speciālā budžeta izdevumu kopsavilkums</w:t>
      </w:r>
    </w:p>
    <w:p w14:paraId="6E716A20" w14:textId="77777777" w:rsidR="004D417B" w:rsidRPr="00C75EA5" w:rsidRDefault="004D417B" w:rsidP="004D417B">
      <w:pPr>
        <w:ind w:firstLineChars="295" w:firstLine="708"/>
      </w:pPr>
      <w:r w:rsidRPr="00C75EA5">
        <w:t xml:space="preserve">Valsts budžets sastāv no </w:t>
      </w:r>
      <w:r w:rsidRPr="00C75EA5">
        <w:rPr>
          <w:b/>
        </w:rPr>
        <w:t>pamatbudžeta</w:t>
      </w:r>
      <w:r w:rsidRPr="00C75EA5">
        <w:t xml:space="preserve"> un </w:t>
      </w:r>
      <w:r w:rsidRPr="00C75EA5">
        <w:rPr>
          <w:b/>
        </w:rPr>
        <w:t>speciālā budžeta</w:t>
      </w:r>
      <w:r w:rsidRPr="00C75EA5">
        <w:t xml:space="preserve">. </w:t>
      </w:r>
    </w:p>
    <w:p w14:paraId="100141C4" w14:textId="77777777" w:rsidR="004D417B" w:rsidRPr="00C75EA5" w:rsidRDefault="004D417B" w:rsidP="004D417B">
      <w:pPr>
        <w:ind w:firstLine="708"/>
      </w:pPr>
      <w:r w:rsidRPr="00C75EA5">
        <w:t>Lai nodrošinātu sabiedrībai uzskatāmu priekštatu par to, kādi resursi ir iesaistīti valsts pamatfunkciju īstenošanā un kādi ES un citu ārvalstu politiku instrumentu pasākumu ieviešanā, visi gadskārtējā valsts budžeta izdevumi tiek nodalīti šādās sadaļās:</w:t>
      </w:r>
    </w:p>
    <w:p w14:paraId="1B44C4A9" w14:textId="77777777" w:rsidR="004D417B" w:rsidRPr="00C75EA5" w:rsidRDefault="004D417B" w:rsidP="004D417B">
      <w:pPr>
        <w:pStyle w:val="ListParagraph"/>
        <w:numPr>
          <w:ilvl w:val="0"/>
          <w:numId w:val="50"/>
        </w:numPr>
        <w:ind w:left="714" w:hanging="357"/>
        <w:contextualSpacing w:val="0"/>
      </w:pPr>
      <w:r w:rsidRPr="00C75EA5">
        <w:t>valsts pamatfunkciju īstenošana;</w:t>
      </w:r>
    </w:p>
    <w:p w14:paraId="383953AC" w14:textId="77777777" w:rsidR="004D417B" w:rsidRPr="00C75EA5" w:rsidRDefault="004D417B" w:rsidP="004D417B">
      <w:pPr>
        <w:pStyle w:val="ListParagraph"/>
        <w:numPr>
          <w:ilvl w:val="0"/>
          <w:numId w:val="50"/>
        </w:numPr>
        <w:ind w:left="714" w:hanging="357"/>
        <w:contextualSpacing w:val="0"/>
      </w:pPr>
      <w:r w:rsidRPr="00C75EA5">
        <w:t>ES politiku instrumentu un pārējās ārvalstu finanšu palīdzības līdzfinansēto un finansēto projektu un pasākumu īstenošana.</w:t>
      </w:r>
    </w:p>
    <w:p w14:paraId="0A4BC3E1" w14:textId="77777777" w:rsidR="004D417B" w:rsidRPr="00187981" w:rsidRDefault="004D417B" w:rsidP="004D417B">
      <w:r w:rsidRPr="00187981">
        <w:rPr>
          <w:b/>
        </w:rPr>
        <w:t xml:space="preserve">Valsts pamatbudžeta izdevumi </w:t>
      </w:r>
      <w:r w:rsidRPr="00187981">
        <w:t>202</w:t>
      </w:r>
      <w:r>
        <w:t>5</w:t>
      </w:r>
      <w:r w:rsidRPr="00187981">
        <w:t xml:space="preserve">. gadā plānoti </w:t>
      </w:r>
      <w:r w:rsidRPr="00F53BF9">
        <w:t>12 679,4</w:t>
      </w:r>
      <w:r w:rsidRPr="00187981">
        <w:t xml:space="preserve"> milj. </w:t>
      </w:r>
      <w:proofErr w:type="spellStart"/>
      <w:r w:rsidRPr="00187981">
        <w:rPr>
          <w:i/>
        </w:rPr>
        <w:t>euro</w:t>
      </w:r>
      <w:proofErr w:type="spellEnd"/>
      <w:r w:rsidRPr="00187981">
        <w:t xml:space="preserve"> apmērā. Izdevumu palielinājums, salīdzinot ar 202</w:t>
      </w:r>
      <w:r>
        <w:t>4</w:t>
      </w:r>
      <w:r w:rsidRPr="00187981">
        <w:t xml:space="preserve">. gada plānu, ir </w:t>
      </w:r>
      <w:r>
        <w:t>4,3</w:t>
      </w:r>
      <w:r w:rsidRPr="00187981">
        <w:t xml:space="preserve">% jeb </w:t>
      </w:r>
      <w:r w:rsidRPr="004C187B">
        <w:t>5</w:t>
      </w:r>
      <w:r>
        <w:t>23,7</w:t>
      </w:r>
      <w:r w:rsidRPr="00187981">
        <w:t xml:space="preserve"> milj. </w:t>
      </w:r>
      <w:proofErr w:type="spellStart"/>
      <w:r w:rsidRPr="00187981">
        <w:rPr>
          <w:i/>
        </w:rPr>
        <w:t>euro</w:t>
      </w:r>
      <w:proofErr w:type="spellEnd"/>
      <w:r w:rsidRPr="00187981">
        <w:t>.</w:t>
      </w:r>
    </w:p>
    <w:p w14:paraId="17A652C7" w14:textId="77777777" w:rsidR="004D417B" w:rsidRPr="008F0C44" w:rsidRDefault="004D417B" w:rsidP="004D417B">
      <w:r w:rsidRPr="008F0C44">
        <w:t>Valsts pamatfunkciju īstenošanai 202</w:t>
      </w:r>
      <w:r>
        <w:t>5</w:t>
      </w:r>
      <w:r w:rsidRPr="008F0C44">
        <w:t xml:space="preserve">. gadā paredzēts finansējums </w:t>
      </w:r>
      <w:r w:rsidRPr="00F53BF9">
        <w:t>9 945,7</w:t>
      </w:r>
      <w:r>
        <w:t xml:space="preserve"> </w:t>
      </w:r>
      <w:r w:rsidRPr="008F0C44">
        <w:t xml:space="preserve">milj. </w:t>
      </w:r>
      <w:proofErr w:type="spellStart"/>
      <w:r w:rsidRPr="008F0C44">
        <w:rPr>
          <w:i/>
        </w:rPr>
        <w:t>euro</w:t>
      </w:r>
      <w:proofErr w:type="spellEnd"/>
      <w:r w:rsidRPr="008F0C44">
        <w:t xml:space="preserve"> apmērā jeb 78,</w:t>
      </w:r>
      <w:r>
        <w:t>4</w:t>
      </w:r>
      <w:r w:rsidRPr="008F0C44">
        <w:t>% no kopējiem valsts pamatbudžeta izdevumiem.</w:t>
      </w:r>
    </w:p>
    <w:p w14:paraId="62C24D12" w14:textId="77777777" w:rsidR="004D417B" w:rsidRPr="004D417B" w:rsidRDefault="004D417B" w:rsidP="004D417B">
      <w:pPr>
        <w:spacing w:before="240"/>
        <w:ind w:firstLine="0"/>
        <w:jc w:val="center"/>
        <w:rPr>
          <w:b/>
          <w:iCs/>
        </w:rPr>
      </w:pPr>
      <w:r>
        <w:rPr>
          <w:b/>
          <w:i/>
        </w:rPr>
        <w:lastRenderedPageBreak/>
        <w:t>5.3</w:t>
      </w:r>
      <w:r w:rsidRPr="00602581">
        <w:rPr>
          <w:b/>
          <w:i/>
        </w:rPr>
        <w:t>.attēls</w:t>
      </w:r>
      <w:r w:rsidRPr="00325DFA">
        <w:rPr>
          <w:b/>
          <w:i/>
        </w:rPr>
        <w:t xml:space="preserve"> </w:t>
      </w:r>
      <w:r w:rsidRPr="004D417B">
        <w:rPr>
          <w:b/>
          <w:iCs/>
        </w:rPr>
        <w:t xml:space="preserve">Valsts pamatbudžeta izdevumi no 2024. līdz 2027. gadam, milj. </w:t>
      </w:r>
      <w:proofErr w:type="spellStart"/>
      <w:r w:rsidRPr="004D417B">
        <w:rPr>
          <w:b/>
          <w:i/>
        </w:rPr>
        <w:t>euro</w:t>
      </w:r>
      <w:proofErr w:type="spellEnd"/>
      <w:r w:rsidRPr="004D417B">
        <w:rPr>
          <w:b/>
          <w:iCs/>
          <w:noProof/>
          <w:lang w:eastAsia="lv-LV"/>
        </w:rPr>
        <mc:AlternateContent>
          <mc:Choice Requires="wps">
            <w:drawing>
              <wp:anchor distT="0" distB="0" distL="114300" distR="114300" simplePos="0" relativeHeight="251659264" behindDoc="0" locked="0" layoutInCell="1" allowOverlap="1" wp14:anchorId="61AD3366" wp14:editId="4C99CA90">
                <wp:simplePos x="0" y="0"/>
                <wp:positionH relativeFrom="column">
                  <wp:posOffset>8348980</wp:posOffset>
                </wp:positionH>
                <wp:positionV relativeFrom="paragraph">
                  <wp:posOffset>-2928620</wp:posOffset>
                </wp:positionV>
                <wp:extent cx="647700" cy="264560"/>
                <wp:effectExtent l="0" t="0" r="19050" b="21590"/>
                <wp:wrapNone/>
                <wp:docPr id="5" name="TextBox 2"/>
                <wp:cNvGraphicFramePr/>
                <a:graphic xmlns:a="http://schemas.openxmlformats.org/drawingml/2006/main">
                  <a:graphicData uri="http://schemas.microsoft.com/office/word/2010/wordprocessingShape">
                    <wps:wsp>
                      <wps:cNvSpPr txBox="1"/>
                      <wps:spPr>
                        <a:xfrm>
                          <a:off x="0" y="0"/>
                          <a:ext cx="647700" cy="264560"/>
                        </a:xfrm>
                        <a:prstGeom prst="rect">
                          <a:avLst/>
                        </a:prstGeom>
                      </wps:spPr>
                      <wps:style>
                        <a:lnRef idx="2">
                          <a:schemeClr val="dk1"/>
                        </a:lnRef>
                        <a:fillRef idx="1">
                          <a:schemeClr val="lt1"/>
                        </a:fillRef>
                        <a:effectRef idx="0">
                          <a:schemeClr val="dk1"/>
                        </a:effectRef>
                        <a:fontRef idx="minor">
                          <a:schemeClr val="dk1"/>
                        </a:fontRef>
                      </wps:style>
                      <wps:txbx>
                        <w:txbxContent>
                          <w:p w14:paraId="0414B66B" w14:textId="77777777" w:rsidR="004D417B" w:rsidRDefault="004D417B" w:rsidP="004D417B">
                            <w:pPr>
                              <w:pStyle w:val="NormalWeb"/>
                              <w:spacing w:before="0" w:beforeAutospacing="0" w:after="0" w:afterAutospacing="0"/>
                            </w:pPr>
                            <w:r>
                              <w:rPr>
                                <w:color w:val="000000" w:themeColor="dark1"/>
                                <w:sz w:val="22"/>
                                <w:szCs w:val="22"/>
                              </w:rPr>
                              <w:t>6 130,3</w:t>
                            </w:r>
                          </w:p>
                        </w:txbxContent>
                      </wps:txbx>
                      <wps:bodyPr wrap="square" rtlCol="0" anchor="t">
                        <a:noAutofit/>
                      </wps:bodyPr>
                    </wps:wsp>
                  </a:graphicData>
                </a:graphic>
              </wp:anchor>
            </w:drawing>
          </mc:Choice>
          <mc:Fallback>
            <w:pict>
              <v:shapetype w14:anchorId="61AD3366" id="_x0000_t202" coordsize="21600,21600" o:spt="202" path="m,l,21600r21600,l21600,xe">
                <v:stroke joinstyle="miter"/>
                <v:path gradientshapeok="t" o:connecttype="rect"/>
              </v:shapetype>
              <v:shape id="TextBox 2" o:spid="_x0000_s1026" type="#_x0000_t202" style="position:absolute;left:0;text-align:left;margin-left:657.4pt;margin-top:-230.6pt;width:51pt;height:20.8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" fillcolor="white [3201]" strokecolor="black [3200]" strokeweight="2pt">
                <v:textbox>
                  <w:txbxContent>
                    <w:p w14:paraId="0414B66B" w14:textId="77777777" w:rsidR="004D417B" w:rsidRDefault="004D417B" w:rsidP="004D417B">
                      <w:pPr>
                        <w:pStyle w:val="NormalWeb"/>
                        <w:spacing w:before="0" w:beforeAutospacing="0" w:after="0" w:afterAutospacing="0"/>
                      </w:pPr>
                      <w:r>
                        <w:rPr>
                          <w:color w:val="000000" w:themeColor="dark1"/>
                          <w:sz w:val="22"/>
                          <w:szCs w:val="22"/>
                        </w:rPr>
                        <w:t>6 130,3</w:t>
                      </w:r>
                    </w:p>
                  </w:txbxContent>
                </v:textbox>
              </v:shape>
            </w:pict>
          </mc:Fallback>
        </mc:AlternateContent>
      </w:r>
    </w:p>
    <w:p w14:paraId="53138EE5" w14:textId="77777777" w:rsidR="004D417B" w:rsidRPr="00497C7B" w:rsidRDefault="004D417B" w:rsidP="004D417B">
      <w:pPr>
        <w:spacing w:before="240"/>
        <w:ind w:firstLine="0"/>
        <w:jc w:val="center"/>
        <w:rPr>
          <w:b/>
          <w:i/>
        </w:rPr>
      </w:pPr>
      <w:r>
        <w:rPr>
          <w:noProof/>
          <w:lang w:eastAsia="lv-LV"/>
        </w:rPr>
        <w:drawing>
          <wp:inline distT="0" distB="0" distL="0" distR="0" wp14:anchorId="42FCCF7A" wp14:editId="40680F1C">
            <wp:extent cx="5760085" cy="2893060"/>
            <wp:effectExtent l="0" t="0" r="12065" b="2540"/>
            <wp:docPr id="643535490" name="Chart 1">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05DBB7D" w14:textId="77777777" w:rsidR="004D417B" w:rsidRPr="007647C9" w:rsidRDefault="004D417B" w:rsidP="004D417B">
      <w:pPr>
        <w:spacing w:before="120"/>
        <w:rPr>
          <w:szCs w:val="24"/>
          <w:lang w:eastAsia="lv-LV"/>
        </w:rPr>
      </w:pPr>
      <w:r w:rsidRPr="001662D8">
        <w:t>ES politiku instrumentu un pārējās ārvalstu finanšu palīdzības finansēto un līdzfinansēto projektu un pasākumu īstenošanai 202</w:t>
      </w:r>
      <w:r>
        <w:t>5</w:t>
      </w:r>
      <w:r w:rsidRPr="001662D8">
        <w:t xml:space="preserve">. gadā paredzēts finansējums </w:t>
      </w:r>
      <w:r w:rsidRPr="00CC1E9F">
        <w:t>2 733,7</w:t>
      </w:r>
      <w:r w:rsidRPr="001662D8">
        <w:t xml:space="preserve"> milj. </w:t>
      </w:r>
      <w:proofErr w:type="spellStart"/>
      <w:r w:rsidRPr="001662D8">
        <w:rPr>
          <w:i/>
        </w:rPr>
        <w:t>euro</w:t>
      </w:r>
      <w:proofErr w:type="spellEnd"/>
      <w:r w:rsidRPr="001662D8">
        <w:t xml:space="preserve"> apmērā jeb 21,</w:t>
      </w:r>
      <w:r>
        <w:t>6</w:t>
      </w:r>
      <w:r w:rsidRPr="001662D8">
        <w:t xml:space="preserve">% no kopējiem valsts pamatbudžeta izdevumiem. </w:t>
      </w:r>
      <w:r w:rsidRPr="007647C9">
        <w:t xml:space="preserve">Apstiprinātajiem projektiem un pasākumiem finansējums </w:t>
      </w:r>
      <w:r w:rsidRPr="007647C9">
        <w:rPr>
          <w:szCs w:val="24"/>
          <w:lang w:eastAsia="lv-LV"/>
        </w:rPr>
        <w:t>1 751,7</w:t>
      </w:r>
      <w:r w:rsidRPr="007647C9">
        <w:rPr>
          <w:sz w:val="18"/>
          <w:szCs w:val="18"/>
          <w:lang w:eastAsia="lv-LV"/>
        </w:rPr>
        <w:t xml:space="preserve"> </w:t>
      </w:r>
      <w:r w:rsidRPr="007647C9">
        <w:t xml:space="preserve">milj. </w:t>
      </w:r>
      <w:proofErr w:type="spellStart"/>
      <w:r w:rsidRPr="007647C9">
        <w:rPr>
          <w:i/>
        </w:rPr>
        <w:t>euro</w:t>
      </w:r>
      <w:proofErr w:type="spellEnd"/>
      <w:r w:rsidRPr="007647C9">
        <w:t xml:space="preserve"> apmērā paredzēts ministriju un citu centrālo valsts iestāžu budžetos, bet projektiem, kuri vēl tiks apstiprināti, finansējums 982,0 milj. </w:t>
      </w:r>
      <w:proofErr w:type="spellStart"/>
      <w:r w:rsidRPr="007647C9">
        <w:rPr>
          <w:i/>
        </w:rPr>
        <w:t>euro</w:t>
      </w:r>
      <w:proofErr w:type="spellEnd"/>
      <w:r w:rsidRPr="007647C9">
        <w:t xml:space="preserve"> apmērā ieplānots </w:t>
      </w:r>
      <w:r w:rsidRPr="007647C9">
        <w:rPr>
          <w:szCs w:val="24"/>
          <w:lang w:eastAsia="lv-LV"/>
        </w:rPr>
        <w:t>budžeta 74. resora 80.00.00 programmā.</w:t>
      </w:r>
    </w:p>
    <w:p w14:paraId="16EE6B27" w14:textId="77777777" w:rsidR="004D417B" w:rsidRPr="00D11EB4" w:rsidRDefault="004D417B" w:rsidP="004D417B">
      <w:pPr>
        <w:ind w:firstLine="720"/>
        <w:rPr>
          <w:bCs/>
          <w:szCs w:val="24"/>
          <w:lang w:eastAsia="lv-LV"/>
        </w:rPr>
      </w:pPr>
      <w:r w:rsidRPr="00D11EB4">
        <w:rPr>
          <w:szCs w:val="24"/>
        </w:rPr>
        <w:t xml:space="preserve">Likumprojektā “Par valsts budžetu 2025. gadam un budžeta ietvaru 2025., 2026. un 2027. gadam” paredzēts finansējums </w:t>
      </w:r>
      <w:r w:rsidRPr="00D11EB4">
        <w:rPr>
          <w:b/>
          <w:bCs/>
          <w:szCs w:val="24"/>
          <w:lang w:eastAsia="lv-LV"/>
        </w:rPr>
        <w:t>ES politiku instrumentu un pārējās ārvalstu finanšu palīdzības līdzfinansēto projektu un pasākumu īstenošanas nodrošināšanai</w:t>
      </w:r>
      <w:r w:rsidRPr="00D11EB4">
        <w:rPr>
          <w:bCs/>
          <w:szCs w:val="24"/>
          <w:lang w:eastAsia="lv-LV"/>
        </w:rPr>
        <w:t xml:space="preserve"> </w:t>
      </w:r>
      <w:r w:rsidRPr="00D11EB4">
        <w:rPr>
          <w:b/>
          <w:bCs/>
          <w:szCs w:val="24"/>
          <w:lang w:eastAsia="lv-LV"/>
        </w:rPr>
        <w:t xml:space="preserve">2 733 664 547 </w:t>
      </w:r>
      <w:proofErr w:type="spellStart"/>
      <w:r w:rsidRPr="00D11EB4">
        <w:rPr>
          <w:b/>
          <w:bCs/>
          <w:i/>
          <w:szCs w:val="24"/>
          <w:lang w:eastAsia="lv-LV"/>
        </w:rPr>
        <w:t>euro</w:t>
      </w:r>
      <w:proofErr w:type="spellEnd"/>
      <w:r w:rsidRPr="00D11EB4">
        <w:rPr>
          <w:bCs/>
          <w:szCs w:val="24"/>
          <w:lang w:eastAsia="lv-LV"/>
        </w:rPr>
        <w:t xml:space="preserve"> apmērā.</w:t>
      </w:r>
    </w:p>
    <w:p w14:paraId="5391683F" w14:textId="77777777" w:rsidR="004D417B" w:rsidRPr="00C16CE9" w:rsidRDefault="004D417B" w:rsidP="004D417B">
      <w:pPr>
        <w:spacing w:before="240"/>
        <w:ind w:firstLine="0"/>
        <w:jc w:val="center"/>
        <w:rPr>
          <w:i/>
          <w:lang w:eastAsia="lv-LV"/>
        </w:rPr>
      </w:pPr>
      <w:r w:rsidRPr="00C16CE9">
        <w:rPr>
          <w:b/>
          <w:i/>
        </w:rPr>
        <w:t xml:space="preserve">5.1. tabula </w:t>
      </w:r>
      <w:r w:rsidRPr="00C16CE9">
        <w:rPr>
          <w:b/>
        </w:rPr>
        <w:t xml:space="preserve">Izdevumi </w:t>
      </w:r>
      <w:r w:rsidRPr="00C16CE9">
        <w:rPr>
          <w:b/>
          <w:bCs/>
          <w:szCs w:val="24"/>
          <w:lang w:eastAsia="lv-LV"/>
        </w:rPr>
        <w:t>ES politiku instrumentu un pārējās ārvalstu finanšu palīdzības līdzfinansēto projektu un pasākumu īstenošanai</w:t>
      </w:r>
      <w:r w:rsidRPr="00C16CE9">
        <w:rPr>
          <w:b/>
        </w:rPr>
        <w:t>,</w:t>
      </w:r>
      <w:r w:rsidRPr="00C16CE9">
        <w:rPr>
          <w:b/>
          <w:i/>
        </w:rPr>
        <w:t xml:space="preserve"> </w:t>
      </w:r>
      <w:proofErr w:type="spellStart"/>
      <w:r w:rsidRPr="00C16CE9">
        <w:rPr>
          <w:b/>
          <w:i/>
        </w:rPr>
        <w:t>euro</w:t>
      </w:r>
      <w:proofErr w:type="spellEnd"/>
      <w:r w:rsidRPr="00C16CE9">
        <w:rPr>
          <w:i/>
          <w:lang w:eastAsia="lv-LV"/>
        </w:rPr>
        <w:t xml:space="preserve"> </w:t>
      </w:r>
    </w:p>
    <w:tbl>
      <w:tblPr>
        <w:tblW w:w="9067" w:type="dxa"/>
        <w:tblLook w:val="04A0" w:firstRow="1" w:lastRow="0" w:firstColumn="1" w:lastColumn="0" w:noHBand="0" w:noVBand="1"/>
      </w:tblPr>
      <w:tblGrid>
        <w:gridCol w:w="6658"/>
        <w:gridCol w:w="2409"/>
      </w:tblGrid>
      <w:tr w:rsidR="004D417B" w:rsidRPr="00FA2E2A" w14:paraId="4BCA3255" w14:textId="77777777" w:rsidTr="004B4FDC">
        <w:trPr>
          <w:trHeight w:val="437"/>
          <w:tblHeader/>
        </w:trPr>
        <w:tc>
          <w:tcPr>
            <w:tcW w:w="66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5911C1" w14:textId="77777777" w:rsidR="004D417B" w:rsidRPr="00FA2E2A" w:rsidRDefault="004D417B" w:rsidP="004B4FDC">
            <w:pPr>
              <w:spacing w:after="0"/>
              <w:ind w:firstLine="0"/>
              <w:jc w:val="center"/>
              <w:rPr>
                <w:color w:val="000000"/>
                <w:sz w:val="18"/>
                <w:szCs w:val="18"/>
                <w:lang w:eastAsia="lv-LV"/>
              </w:rPr>
            </w:pPr>
            <w:r w:rsidRPr="00FA2E2A">
              <w:rPr>
                <w:color w:val="000000"/>
                <w:sz w:val="18"/>
                <w:szCs w:val="18"/>
                <w:lang w:eastAsia="lv-LV"/>
              </w:rPr>
              <w:t>ES politiku instruments, pārējā ārvalstu finanšu palīdzība</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14:paraId="500ADCEC" w14:textId="77777777" w:rsidR="004D417B" w:rsidRPr="00FA2E2A" w:rsidRDefault="004D417B" w:rsidP="004B4FDC">
            <w:pPr>
              <w:spacing w:after="0"/>
              <w:ind w:firstLine="0"/>
              <w:jc w:val="center"/>
              <w:rPr>
                <w:b/>
                <w:bCs/>
                <w:sz w:val="18"/>
                <w:szCs w:val="18"/>
                <w:lang w:eastAsia="lv-LV"/>
              </w:rPr>
            </w:pPr>
            <w:r w:rsidRPr="00FA2E2A">
              <w:rPr>
                <w:b/>
                <w:bCs/>
                <w:sz w:val="18"/>
                <w:szCs w:val="18"/>
                <w:lang w:eastAsia="lv-LV"/>
              </w:rPr>
              <w:t>202</w:t>
            </w:r>
            <w:r>
              <w:rPr>
                <w:b/>
                <w:bCs/>
                <w:sz w:val="18"/>
                <w:szCs w:val="18"/>
                <w:lang w:eastAsia="lv-LV"/>
              </w:rPr>
              <w:t>5</w:t>
            </w:r>
            <w:r w:rsidRPr="00FA2E2A">
              <w:rPr>
                <w:b/>
                <w:bCs/>
                <w:sz w:val="18"/>
                <w:szCs w:val="18"/>
                <w:lang w:eastAsia="lv-LV"/>
              </w:rPr>
              <w:t>.</w:t>
            </w:r>
            <w:r>
              <w:rPr>
                <w:b/>
                <w:bCs/>
                <w:sz w:val="18"/>
                <w:szCs w:val="18"/>
                <w:lang w:eastAsia="lv-LV"/>
              </w:rPr>
              <w:t xml:space="preserve"> </w:t>
            </w:r>
            <w:r w:rsidRPr="00FA2E2A">
              <w:rPr>
                <w:b/>
                <w:bCs/>
                <w:sz w:val="18"/>
                <w:szCs w:val="18"/>
                <w:lang w:eastAsia="lv-LV"/>
              </w:rPr>
              <w:t>gada p</w:t>
            </w:r>
            <w:r>
              <w:rPr>
                <w:b/>
                <w:bCs/>
                <w:sz w:val="18"/>
                <w:szCs w:val="18"/>
                <w:lang w:eastAsia="lv-LV"/>
              </w:rPr>
              <w:t>rojekts</w:t>
            </w:r>
          </w:p>
        </w:tc>
      </w:tr>
      <w:tr w:rsidR="004D417B" w:rsidRPr="00FA2E2A" w14:paraId="7CCD7D6A" w14:textId="77777777" w:rsidTr="004B4FDC">
        <w:trPr>
          <w:trHeight w:val="67"/>
        </w:trPr>
        <w:tc>
          <w:tcPr>
            <w:tcW w:w="6658" w:type="dxa"/>
            <w:tcBorders>
              <w:top w:val="nil"/>
              <w:left w:val="single" w:sz="4" w:space="0" w:color="auto"/>
              <w:bottom w:val="single" w:sz="4" w:space="0" w:color="auto"/>
              <w:right w:val="single" w:sz="4" w:space="0" w:color="auto"/>
            </w:tcBorders>
            <w:shd w:val="clear" w:color="000000" w:fill="DAEEF3"/>
            <w:vAlign w:val="bottom"/>
            <w:hideMark/>
          </w:tcPr>
          <w:p w14:paraId="26F9D699" w14:textId="77777777" w:rsidR="004D417B" w:rsidRPr="00F12C59" w:rsidRDefault="004D417B" w:rsidP="004B4FDC">
            <w:pPr>
              <w:spacing w:after="0"/>
              <w:ind w:firstLine="0"/>
              <w:jc w:val="left"/>
              <w:rPr>
                <w:b/>
                <w:bCs/>
                <w:color w:val="000000"/>
                <w:sz w:val="18"/>
                <w:szCs w:val="18"/>
                <w:lang w:eastAsia="lv-LV"/>
              </w:rPr>
            </w:pPr>
            <w:r w:rsidRPr="00F12C59">
              <w:rPr>
                <w:b/>
                <w:bCs/>
                <w:color w:val="000000"/>
                <w:sz w:val="18"/>
                <w:szCs w:val="18"/>
              </w:rPr>
              <w:t>Pamatbudžetā – kopā</w:t>
            </w:r>
          </w:p>
        </w:tc>
        <w:tc>
          <w:tcPr>
            <w:tcW w:w="2409" w:type="dxa"/>
            <w:tcBorders>
              <w:top w:val="nil"/>
              <w:left w:val="nil"/>
              <w:bottom w:val="single" w:sz="4" w:space="0" w:color="auto"/>
              <w:right w:val="single" w:sz="4" w:space="0" w:color="auto"/>
            </w:tcBorders>
            <w:shd w:val="clear" w:color="000000" w:fill="DAEEF3"/>
            <w:vAlign w:val="bottom"/>
            <w:hideMark/>
          </w:tcPr>
          <w:p w14:paraId="59AA7EC0" w14:textId="77777777" w:rsidR="004D417B" w:rsidRPr="00F12C59" w:rsidRDefault="004D417B" w:rsidP="004B4FDC">
            <w:pPr>
              <w:spacing w:after="0"/>
              <w:ind w:firstLine="0"/>
              <w:jc w:val="right"/>
              <w:rPr>
                <w:b/>
                <w:bCs/>
                <w:color w:val="000000"/>
                <w:sz w:val="18"/>
                <w:szCs w:val="18"/>
                <w:lang w:eastAsia="lv-LV"/>
              </w:rPr>
            </w:pPr>
            <w:r w:rsidRPr="00817D3B">
              <w:rPr>
                <w:b/>
                <w:bCs/>
                <w:color w:val="000000"/>
                <w:sz w:val="18"/>
                <w:szCs w:val="18"/>
              </w:rPr>
              <w:t>2 733 664 547</w:t>
            </w:r>
          </w:p>
        </w:tc>
      </w:tr>
      <w:tr w:rsidR="004D417B" w:rsidRPr="00FA2E2A" w14:paraId="25CED01B" w14:textId="77777777" w:rsidTr="004B4FDC">
        <w:trPr>
          <w:trHeight w:val="43"/>
        </w:trPr>
        <w:tc>
          <w:tcPr>
            <w:tcW w:w="6658" w:type="dxa"/>
            <w:tcBorders>
              <w:top w:val="nil"/>
              <w:left w:val="single" w:sz="4" w:space="0" w:color="auto"/>
              <w:bottom w:val="single" w:sz="4" w:space="0" w:color="auto"/>
              <w:right w:val="single" w:sz="4" w:space="0" w:color="auto"/>
            </w:tcBorders>
            <w:shd w:val="clear" w:color="auto" w:fill="auto"/>
            <w:vAlign w:val="bottom"/>
            <w:hideMark/>
          </w:tcPr>
          <w:p w14:paraId="72513A66" w14:textId="77777777" w:rsidR="004D417B" w:rsidRPr="00F12C59" w:rsidRDefault="004D417B" w:rsidP="004B4FDC">
            <w:pPr>
              <w:spacing w:after="0"/>
              <w:ind w:firstLine="0"/>
              <w:jc w:val="center"/>
              <w:rPr>
                <w:i/>
                <w:iCs/>
                <w:color w:val="FF0000"/>
                <w:sz w:val="18"/>
                <w:szCs w:val="18"/>
                <w:lang w:eastAsia="lv-LV"/>
              </w:rPr>
            </w:pPr>
            <w:r w:rsidRPr="000920DB">
              <w:rPr>
                <w:i/>
                <w:iCs/>
                <w:sz w:val="18"/>
                <w:szCs w:val="18"/>
              </w:rPr>
              <w:t>tajā skaitā</w:t>
            </w:r>
          </w:p>
        </w:tc>
        <w:tc>
          <w:tcPr>
            <w:tcW w:w="2409" w:type="dxa"/>
            <w:tcBorders>
              <w:top w:val="nil"/>
              <w:left w:val="nil"/>
              <w:bottom w:val="single" w:sz="4" w:space="0" w:color="auto"/>
              <w:right w:val="single" w:sz="4" w:space="0" w:color="auto"/>
            </w:tcBorders>
            <w:shd w:val="clear" w:color="auto" w:fill="auto"/>
            <w:vAlign w:val="bottom"/>
            <w:hideMark/>
          </w:tcPr>
          <w:p w14:paraId="313A54AA" w14:textId="77777777" w:rsidR="004D417B" w:rsidRPr="00F12C59" w:rsidRDefault="004D417B" w:rsidP="004B4FDC">
            <w:pPr>
              <w:spacing w:after="0"/>
              <w:ind w:firstLine="0"/>
              <w:jc w:val="left"/>
              <w:rPr>
                <w:color w:val="FF0000"/>
                <w:sz w:val="18"/>
                <w:szCs w:val="18"/>
                <w:lang w:eastAsia="lv-LV"/>
              </w:rPr>
            </w:pPr>
            <w:r w:rsidRPr="00F12C59">
              <w:rPr>
                <w:color w:val="FF0000"/>
                <w:sz w:val="18"/>
                <w:szCs w:val="18"/>
              </w:rPr>
              <w:t> </w:t>
            </w:r>
          </w:p>
        </w:tc>
      </w:tr>
      <w:tr w:rsidR="004D417B" w:rsidRPr="00FA2E2A" w14:paraId="40F2A550" w14:textId="77777777" w:rsidTr="004D417B">
        <w:trPr>
          <w:trHeight w:val="201"/>
        </w:trPr>
        <w:tc>
          <w:tcPr>
            <w:tcW w:w="6658" w:type="dxa"/>
            <w:tcBorders>
              <w:top w:val="nil"/>
              <w:left w:val="single" w:sz="4" w:space="0" w:color="auto"/>
              <w:bottom w:val="single" w:sz="4" w:space="0" w:color="auto"/>
              <w:right w:val="single" w:sz="4" w:space="0" w:color="auto"/>
            </w:tcBorders>
            <w:shd w:val="clear" w:color="000000" w:fill="DAEEF3"/>
            <w:vAlign w:val="bottom"/>
            <w:hideMark/>
          </w:tcPr>
          <w:p w14:paraId="0A126731" w14:textId="77777777" w:rsidR="004D417B" w:rsidRPr="00F12C59" w:rsidRDefault="004D417B" w:rsidP="004B4FDC">
            <w:pPr>
              <w:spacing w:after="0"/>
              <w:ind w:firstLine="0"/>
              <w:jc w:val="left"/>
              <w:rPr>
                <w:b/>
                <w:bCs/>
                <w:color w:val="000000"/>
                <w:sz w:val="18"/>
                <w:szCs w:val="18"/>
                <w:lang w:eastAsia="lv-LV"/>
              </w:rPr>
            </w:pPr>
            <w:r w:rsidRPr="00F12C59">
              <w:rPr>
                <w:b/>
                <w:bCs/>
                <w:color w:val="000000"/>
                <w:sz w:val="18"/>
                <w:szCs w:val="18"/>
              </w:rPr>
              <w:t>Ministriju un citu centrālo valsts iestāžu budžetos ieplānotais finansējums sadalījumā pa ES politiku instrumentiem un pārējo ārvalstu finanšu palīdzību</w:t>
            </w:r>
          </w:p>
        </w:tc>
        <w:tc>
          <w:tcPr>
            <w:tcW w:w="2409" w:type="dxa"/>
            <w:tcBorders>
              <w:top w:val="nil"/>
              <w:left w:val="nil"/>
              <w:bottom w:val="single" w:sz="4" w:space="0" w:color="auto"/>
              <w:right w:val="single" w:sz="4" w:space="0" w:color="auto"/>
            </w:tcBorders>
            <w:shd w:val="clear" w:color="000000" w:fill="DAEEF3"/>
            <w:hideMark/>
          </w:tcPr>
          <w:p w14:paraId="7F0D6BEF" w14:textId="77777777" w:rsidR="004D417B" w:rsidRPr="00BB11C9" w:rsidRDefault="004D417B" w:rsidP="004D417B">
            <w:pPr>
              <w:spacing w:after="0"/>
              <w:ind w:firstLine="0"/>
              <w:jc w:val="right"/>
              <w:rPr>
                <w:b/>
                <w:bCs/>
                <w:color w:val="000000"/>
                <w:sz w:val="18"/>
                <w:szCs w:val="18"/>
                <w:highlight w:val="cyan"/>
                <w:lang w:eastAsia="lv-LV"/>
              </w:rPr>
            </w:pPr>
            <w:r w:rsidRPr="007647C9">
              <w:rPr>
                <w:b/>
                <w:bCs/>
                <w:color w:val="000000"/>
                <w:sz w:val="18"/>
                <w:szCs w:val="18"/>
              </w:rPr>
              <w:t>1 751 658 070</w:t>
            </w:r>
          </w:p>
        </w:tc>
      </w:tr>
      <w:tr w:rsidR="004D417B" w:rsidRPr="00FA2E2A" w14:paraId="469456BE" w14:textId="77777777" w:rsidTr="00F942CF">
        <w:trPr>
          <w:trHeight w:val="195"/>
        </w:trPr>
        <w:tc>
          <w:tcPr>
            <w:tcW w:w="6658" w:type="dxa"/>
            <w:tcBorders>
              <w:top w:val="nil"/>
              <w:left w:val="single" w:sz="4" w:space="0" w:color="auto"/>
              <w:bottom w:val="single" w:sz="4" w:space="0" w:color="auto"/>
              <w:right w:val="single" w:sz="4" w:space="0" w:color="auto"/>
            </w:tcBorders>
            <w:shd w:val="clear" w:color="auto" w:fill="auto"/>
            <w:vAlign w:val="bottom"/>
            <w:hideMark/>
          </w:tcPr>
          <w:p w14:paraId="37BCC0B6" w14:textId="77777777" w:rsidR="004D417B" w:rsidRPr="00F12C59" w:rsidRDefault="004D417B" w:rsidP="004B4FDC">
            <w:pPr>
              <w:spacing w:after="0"/>
              <w:ind w:firstLine="0"/>
              <w:jc w:val="left"/>
              <w:rPr>
                <w:color w:val="000000"/>
                <w:sz w:val="18"/>
                <w:szCs w:val="18"/>
                <w:lang w:eastAsia="lv-LV"/>
              </w:rPr>
            </w:pPr>
            <w:r w:rsidRPr="00F12C59">
              <w:rPr>
                <w:color w:val="000000"/>
                <w:sz w:val="18"/>
                <w:szCs w:val="18"/>
              </w:rPr>
              <w:t>Eiropas transporta, telekomunikāciju un enerģijas infrastruktūras tīkli un Eiropas infrastruktūras savienošanas instruments</w:t>
            </w:r>
          </w:p>
        </w:tc>
        <w:tc>
          <w:tcPr>
            <w:tcW w:w="2409" w:type="dxa"/>
            <w:tcBorders>
              <w:top w:val="nil"/>
              <w:left w:val="nil"/>
              <w:bottom w:val="single" w:sz="4" w:space="0" w:color="auto"/>
              <w:right w:val="single" w:sz="4" w:space="0" w:color="auto"/>
            </w:tcBorders>
            <w:shd w:val="clear" w:color="auto" w:fill="auto"/>
            <w:noWrap/>
            <w:hideMark/>
          </w:tcPr>
          <w:p w14:paraId="5F39C701" w14:textId="77777777" w:rsidR="004D417B" w:rsidRPr="00F12C59" w:rsidRDefault="004D417B" w:rsidP="00F942CF">
            <w:pPr>
              <w:spacing w:after="0"/>
              <w:ind w:firstLine="0"/>
              <w:jc w:val="right"/>
              <w:rPr>
                <w:color w:val="000000"/>
                <w:sz w:val="18"/>
                <w:szCs w:val="18"/>
                <w:lang w:eastAsia="lv-LV"/>
              </w:rPr>
            </w:pPr>
            <w:r w:rsidRPr="00F7363F">
              <w:rPr>
                <w:color w:val="000000"/>
                <w:sz w:val="18"/>
                <w:szCs w:val="18"/>
              </w:rPr>
              <w:t>184 943 262</w:t>
            </w:r>
          </w:p>
        </w:tc>
      </w:tr>
      <w:tr w:rsidR="004D417B" w:rsidRPr="00FA2E2A" w14:paraId="799792D7" w14:textId="77777777" w:rsidTr="004B4FDC">
        <w:trPr>
          <w:trHeight w:val="132"/>
        </w:trPr>
        <w:tc>
          <w:tcPr>
            <w:tcW w:w="6658" w:type="dxa"/>
            <w:tcBorders>
              <w:top w:val="nil"/>
              <w:left w:val="single" w:sz="4" w:space="0" w:color="auto"/>
              <w:bottom w:val="single" w:sz="4" w:space="0" w:color="auto"/>
              <w:right w:val="single" w:sz="4" w:space="0" w:color="auto"/>
            </w:tcBorders>
            <w:shd w:val="clear" w:color="auto" w:fill="auto"/>
            <w:vAlign w:val="bottom"/>
            <w:hideMark/>
          </w:tcPr>
          <w:p w14:paraId="43D087A5" w14:textId="77777777" w:rsidR="004D417B" w:rsidRPr="00F12C59" w:rsidRDefault="004D417B" w:rsidP="004B4FDC">
            <w:pPr>
              <w:spacing w:after="0"/>
              <w:ind w:firstLine="0"/>
              <w:jc w:val="left"/>
              <w:rPr>
                <w:color w:val="000000"/>
                <w:sz w:val="18"/>
                <w:szCs w:val="18"/>
                <w:lang w:eastAsia="lv-LV"/>
              </w:rPr>
            </w:pPr>
            <w:r w:rsidRPr="00F12C59">
              <w:rPr>
                <w:color w:val="000000"/>
                <w:sz w:val="18"/>
                <w:szCs w:val="18"/>
              </w:rPr>
              <w:t>Eiropas Reģionālās attīstības fonds</w:t>
            </w:r>
          </w:p>
        </w:tc>
        <w:tc>
          <w:tcPr>
            <w:tcW w:w="2409" w:type="dxa"/>
            <w:tcBorders>
              <w:top w:val="nil"/>
              <w:left w:val="nil"/>
              <w:bottom w:val="single" w:sz="4" w:space="0" w:color="auto"/>
              <w:right w:val="single" w:sz="4" w:space="0" w:color="auto"/>
            </w:tcBorders>
            <w:shd w:val="clear" w:color="auto" w:fill="auto"/>
            <w:noWrap/>
            <w:vAlign w:val="bottom"/>
            <w:hideMark/>
          </w:tcPr>
          <w:p w14:paraId="31F0AFDE" w14:textId="77777777" w:rsidR="004D417B" w:rsidRPr="00F12C59" w:rsidRDefault="004D417B" w:rsidP="004B4FDC">
            <w:pPr>
              <w:spacing w:after="0"/>
              <w:ind w:firstLine="0"/>
              <w:jc w:val="right"/>
              <w:rPr>
                <w:color w:val="000000"/>
                <w:sz w:val="18"/>
                <w:szCs w:val="18"/>
                <w:lang w:eastAsia="lv-LV"/>
              </w:rPr>
            </w:pPr>
            <w:r w:rsidRPr="00F7363F">
              <w:rPr>
                <w:color w:val="000000"/>
                <w:sz w:val="18"/>
                <w:szCs w:val="18"/>
              </w:rPr>
              <w:t>110 292 478</w:t>
            </w:r>
          </w:p>
        </w:tc>
      </w:tr>
      <w:tr w:rsidR="004D417B" w:rsidRPr="00FA2E2A" w14:paraId="19EB17FC" w14:textId="77777777" w:rsidTr="004B4FDC">
        <w:trPr>
          <w:trHeight w:val="43"/>
        </w:trPr>
        <w:tc>
          <w:tcPr>
            <w:tcW w:w="6658" w:type="dxa"/>
            <w:tcBorders>
              <w:top w:val="nil"/>
              <w:left w:val="single" w:sz="4" w:space="0" w:color="auto"/>
              <w:bottom w:val="single" w:sz="4" w:space="0" w:color="auto"/>
              <w:right w:val="single" w:sz="4" w:space="0" w:color="auto"/>
            </w:tcBorders>
            <w:shd w:val="clear" w:color="auto" w:fill="auto"/>
            <w:vAlign w:val="bottom"/>
            <w:hideMark/>
          </w:tcPr>
          <w:p w14:paraId="46E92EFA" w14:textId="77777777" w:rsidR="004D417B" w:rsidRPr="00F12C59" w:rsidRDefault="004D417B" w:rsidP="004B4FDC">
            <w:pPr>
              <w:spacing w:after="0"/>
              <w:ind w:firstLine="0"/>
              <w:jc w:val="left"/>
              <w:rPr>
                <w:color w:val="000000"/>
                <w:sz w:val="18"/>
                <w:szCs w:val="18"/>
                <w:lang w:eastAsia="lv-LV"/>
              </w:rPr>
            </w:pPr>
            <w:r w:rsidRPr="00F12C59">
              <w:rPr>
                <w:color w:val="000000"/>
                <w:sz w:val="18"/>
                <w:szCs w:val="18"/>
              </w:rPr>
              <w:t>Eiropas Sociālais fonds +</w:t>
            </w:r>
          </w:p>
        </w:tc>
        <w:tc>
          <w:tcPr>
            <w:tcW w:w="2409" w:type="dxa"/>
            <w:tcBorders>
              <w:top w:val="nil"/>
              <w:left w:val="nil"/>
              <w:bottom w:val="single" w:sz="4" w:space="0" w:color="auto"/>
              <w:right w:val="single" w:sz="4" w:space="0" w:color="auto"/>
            </w:tcBorders>
            <w:shd w:val="clear" w:color="auto" w:fill="auto"/>
            <w:noWrap/>
            <w:vAlign w:val="bottom"/>
            <w:hideMark/>
          </w:tcPr>
          <w:p w14:paraId="7ABC03CF" w14:textId="77777777" w:rsidR="004D417B" w:rsidRPr="00F12C59" w:rsidRDefault="004D417B" w:rsidP="004B4FDC">
            <w:pPr>
              <w:spacing w:after="0"/>
              <w:ind w:firstLine="0"/>
              <w:jc w:val="right"/>
              <w:rPr>
                <w:color w:val="000000"/>
                <w:sz w:val="18"/>
                <w:szCs w:val="18"/>
                <w:lang w:eastAsia="lv-LV"/>
              </w:rPr>
            </w:pPr>
            <w:r w:rsidRPr="00F7363F">
              <w:rPr>
                <w:color w:val="000000"/>
                <w:sz w:val="18"/>
                <w:szCs w:val="18"/>
              </w:rPr>
              <w:t>52 915 353</w:t>
            </w:r>
          </w:p>
        </w:tc>
      </w:tr>
      <w:tr w:rsidR="004D417B" w:rsidRPr="00FA2E2A" w14:paraId="0043C5CD" w14:textId="77777777" w:rsidTr="004B4FDC">
        <w:trPr>
          <w:trHeight w:val="43"/>
        </w:trPr>
        <w:tc>
          <w:tcPr>
            <w:tcW w:w="6658" w:type="dxa"/>
            <w:tcBorders>
              <w:top w:val="nil"/>
              <w:left w:val="single" w:sz="4" w:space="0" w:color="auto"/>
              <w:bottom w:val="single" w:sz="4" w:space="0" w:color="auto"/>
              <w:right w:val="single" w:sz="4" w:space="0" w:color="auto"/>
            </w:tcBorders>
            <w:shd w:val="clear" w:color="auto" w:fill="auto"/>
            <w:vAlign w:val="bottom"/>
            <w:hideMark/>
          </w:tcPr>
          <w:p w14:paraId="6B03D4B8" w14:textId="77777777" w:rsidR="004D417B" w:rsidRPr="00F12C59" w:rsidRDefault="004D417B" w:rsidP="004B4FDC">
            <w:pPr>
              <w:spacing w:after="0"/>
              <w:ind w:firstLine="0"/>
              <w:jc w:val="left"/>
              <w:rPr>
                <w:color w:val="000000"/>
                <w:sz w:val="18"/>
                <w:szCs w:val="18"/>
                <w:lang w:eastAsia="lv-LV"/>
              </w:rPr>
            </w:pPr>
            <w:r w:rsidRPr="00F12C59">
              <w:rPr>
                <w:color w:val="000000"/>
                <w:sz w:val="18"/>
                <w:szCs w:val="18"/>
              </w:rPr>
              <w:t xml:space="preserve">Eiropas Lauksaimniecības garantiju fonds </w:t>
            </w:r>
          </w:p>
        </w:tc>
        <w:tc>
          <w:tcPr>
            <w:tcW w:w="2409" w:type="dxa"/>
            <w:tcBorders>
              <w:top w:val="nil"/>
              <w:left w:val="nil"/>
              <w:bottom w:val="single" w:sz="4" w:space="0" w:color="auto"/>
              <w:right w:val="single" w:sz="4" w:space="0" w:color="auto"/>
            </w:tcBorders>
            <w:shd w:val="clear" w:color="auto" w:fill="auto"/>
            <w:noWrap/>
            <w:vAlign w:val="bottom"/>
            <w:hideMark/>
          </w:tcPr>
          <w:p w14:paraId="0D047D33" w14:textId="77777777" w:rsidR="004D417B" w:rsidRPr="00F12C59" w:rsidRDefault="004D417B" w:rsidP="004B4FDC">
            <w:pPr>
              <w:spacing w:after="0"/>
              <w:ind w:firstLine="0"/>
              <w:jc w:val="right"/>
              <w:rPr>
                <w:color w:val="000000"/>
                <w:sz w:val="18"/>
                <w:szCs w:val="18"/>
                <w:lang w:eastAsia="lv-LV"/>
              </w:rPr>
            </w:pPr>
            <w:r w:rsidRPr="00F7363F">
              <w:rPr>
                <w:color w:val="000000"/>
                <w:sz w:val="18"/>
                <w:szCs w:val="18"/>
              </w:rPr>
              <w:t>355 736 680</w:t>
            </w:r>
          </w:p>
        </w:tc>
      </w:tr>
      <w:tr w:rsidR="004D417B" w:rsidRPr="00FA2E2A" w14:paraId="392FE3FC" w14:textId="77777777" w:rsidTr="004B4FDC">
        <w:trPr>
          <w:trHeight w:val="55"/>
        </w:trPr>
        <w:tc>
          <w:tcPr>
            <w:tcW w:w="6658" w:type="dxa"/>
            <w:tcBorders>
              <w:top w:val="nil"/>
              <w:left w:val="single" w:sz="4" w:space="0" w:color="auto"/>
              <w:bottom w:val="single" w:sz="4" w:space="0" w:color="auto"/>
              <w:right w:val="single" w:sz="4" w:space="0" w:color="auto"/>
            </w:tcBorders>
            <w:shd w:val="clear" w:color="auto" w:fill="auto"/>
            <w:vAlign w:val="bottom"/>
            <w:hideMark/>
          </w:tcPr>
          <w:p w14:paraId="43080CC2" w14:textId="77777777" w:rsidR="004D417B" w:rsidRPr="00F12C59" w:rsidRDefault="004D417B" w:rsidP="004B4FDC">
            <w:pPr>
              <w:spacing w:after="0"/>
              <w:ind w:firstLine="0"/>
              <w:jc w:val="left"/>
              <w:rPr>
                <w:color w:val="000000"/>
                <w:sz w:val="18"/>
                <w:szCs w:val="18"/>
                <w:lang w:eastAsia="lv-LV"/>
              </w:rPr>
            </w:pPr>
            <w:r w:rsidRPr="00F12C59">
              <w:rPr>
                <w:color w:val="000000"/>
                <w:sz w:val="18"/>
                <w:szCs w:val="18"/>
              </w:rPr>
              <w:t xml:space="preserve">Eiropas Lauksaimniecības fonds lauku attīstībai </w:t>
            </w:r>
          </w:p>
        </w:tc>
        <w:tc>
          <w:tcPr>
            <w:tcW w:w="2409" w:type="dxa"/>
            <w:tcBorders>
              <w:top w:val="nil"/>
              <w:left w:val="nil"/>
              <w:bottom w:val="single" w:sz="4" w:space="0" w:color="auto"/>
              <w:right w:val="single" w:sz="4" w:space="0" w:color="auto"/>
            </w:tcBorders>
            <w:shd w:val="clear" w:color="auto" w:fill="auto"/>
            <w:noWrap/>
            <w:vAlign w:val="bottom"/>
            <w:hideMark/>
          </w:tcPr>
          <w:p w14:paraId="26DE4CAA" w14:textId="77777777" w:rsidR="004D417B" w:rsidRPr="00F12C59" w:rsidRDefault="004D417B" w:rsidP="004B4FDC">
            <w:pPr>
              <w:spacing w:after="0"/>
              <w:ind w:firstLine="0"/>
              <w:jc w:val="right"/>
              <w:rPr>
                <w:color w:val="000000"/>
                <w:sz w:val="18"/>
                <w:szCs w:val="18"/>
                <w:lang w:eastAsia="lv-LV"/>
              </w:rPr>
            </w:pPr>
            <w:r w:rsidRPr="00F7363F">
              <w:rPr>
                <w:color w:val="000000"/>
                <w:sz w:val="18"/>
                <w:szCs w:val="18"/>
              </w:rPr>
              <w:t>298 362 609</w:t>
            </w:r>
          </w:p>
        </w:tc>
      </w:tr>
      <w:tr w:rsidR="004D417B" w:rsidRPr="00FA2E2A" w14:paraId="0F32E250" w14:textId="77777777" w:rsidTr="00F942CF">
        <w:trPr>
          <w:trHeight w:val="115"/>
        </w:trPr>
        <w:tc>
          <w:tcPr>
            <w:tcW w:w="6658" w:type="dxa"/>
            <w:tcBorders>
              <w:top w:val="nil"/>
              <w:left w:val="single" w:sz="4" w:space="0" w:color="auto"/>
              <w:bottom w:val="single" w:sz="4" w:space="0" w:color="auto"/>
              <w:right w:val="single" w:sz="4" w:space="0" w:color="auto"/>
            </w:tcBorders>
            <w:shd w:val="clear" w:color="auto" w:fill="auto"/>
            <w:vAlign w:val="bottom"/>
            <w:hideMark/>
          </w:tcPr>
          <w:p w14:paraId="7D4A064C" w14:textId="77777777" w:rsidR="004D417B" w:rsidRPr="00F12C59" w:rsidRDefault="004D417B" w:rsidP="004B4FDC">
            <w:pPr>
              <w:spacing w:after="0"/>
              <w:ind w:firstLine="0"/>
              <w:jc w:val="left"/>
              <w:rPr>
                <w:color w:val="000000"/>
                <w:sz w:val="18"/>
                <w:szCs w:val="18"/>
                <w:lang w:eastAsia="lv-LV"/>
              </w:rPr>
            </w:pPr>
            <w:r w:rsidRPr="00F12C59">
              <w:rPr>
                <w:color w:val="000000"/>
                <w:sz w:val="18"/>
                <w:szCs w:val="18"/>
              </w:rPr>
              <w:t>Eiropas Jūrlietu un zivsaimniecības fonds (EJZF) un Eiropas Jūrlietu, zvejniecības un akvakultūras fonds (EJZAF)</w:t>
            </w:r>
          </w:p>
        </w:tc>
        <w:tc>
          <w:tcPr>
            <w:tcW w:w="2409" w:type="dxa"/>
            <w:tcBorders>
              <w:top w:val="nil"/>
              <w:left w:val="nil"/>
              <w:bottom w:val="single" w:sz="4" w:space="0" w:color="auto"/>
              <w:right w:val="single" w:sz="4" w:space="0" w:color="auto"/>
            </w:tcBorders>
            <w:shd w:val="clear" w:color="auto" w:fill="auto"/>
            <w:noWrap/>
            <w:hideMark/>
          </w:tcPr>
          <w:p w14:paraId="1BE083F4" w14:textId="77777777" w:rsidR="004D417B" w:rsidRPr="00F12C59" w:rsidRDefault="004D417B" w:rsidP="00F942CF">
            <w:pPr>
              <w:spacing w:after="0"/>
              <w:ind w:firstLine="0"/>
              <w:jc w:val="right"/>
              <w:rPr>
                <w:color w:val="000000"/>
                <w:sz w:val="18"/>
                <w:szCs w:val="18"/>
                <w:lang w:eastAsia="lv-LV"/>
              </w:rPr>
            </w:pPr>
            <w:r w:rsidRPr="00F7363F">
              <w:rPr>
                <w:color w:val="000000"/>
                <w:sz w:val="18"/>
                <w:szCs w:val="18"/>
              </w:rPr>
              <w:t>34 724 752</w:t>
            </w:r>
          </w:p>
        </w:tc>
      </w:tr>
      <w:tr w:rsidR="004D417B" w:rsidRPr="00FA2E2A" w14:paraId="1BB306A7" w14:textId="77777777" w:rsidTr="004B4FDC">
        <w:trPr>
          <w:trHeight w:val="43"/>
        </w:trPr>
        <w:tc>
          <w:tcPr>
            <w:tcW w:w="6658" w:type="dxa"/>
            <w:tcBorders>
              <w:top w:val="nil"/>
              <w:left w:val="single" w:sz="4" w:space="0" w:color="auto"/>
              <w:bottom w:val="single" w:sz="4" w:space="0" w:color="auto"/>
              <w:right w:val="single" w:sz="4" w:space="0" w:color="auto"/>
            </w:tcBorders>
            <w:shd w:val="clear" w:color="auto" w:fill="auto"/>
            <w:vAlign w:val="bottom"/>
            <w:hideMark/>
          </w:tcPr>
          <w:p w14:paraId="2E20D328" w14:textId="77777777" w:rsidR="004D417B" w:rsidRPr="00F12C59" w:rsidRDefault="004D417B" w:rsidP="004B4FDC">
            <w:pPr>
              <w:spacing w:after="0"/>
              <w:ind w:firstLine="0"/>
              <w:jc w:val="left"/>
              <w:rPr>
                <w:color w:val="000000"/>
                <w:sz w:val="18"/>
                <w:szCs w:val="18"/>
                <w:lang w:eastAsia="lv-LV"/>
              </w:rPr>
            </w:pPr>
            <w:r w:rsidRPr="00F12C59">
              <w:rPr>
                <w:color w:val="000000"/>
                <w:sz w:val="18"/>
                <w:szCs w:val="18"/>
              </w:rPr>
              <w:t>Eiropas Kopienas iniciatīvas</w:t>
            </w:r>
          </w:p>
        </w:tc>
        <w:tc>
          <w:tcPr>
            <w:tcW w:w="2409" w:type="dxa"/>
            <w:tcBorders>
              <w:top w:val="nil"/>
              <w:left w:val="nil"/>
              <w:bottom w:val="single" w:sz="4" w:space="0" w:color="auto"/>
              <w:right w:val="single" w:sz="4" w:space="0" w:color="auto"/>
            </w:tcBorders>
            <w:shd w:val="clear" w:color="auto" w:fill="auto"/>
            <w:noWrap/>
            <w:vAlign w:val="bottom"/>
            <w:hideMark/>
          </w:tcPr>
          <w:p w14:paraId="3C5172EF" w14:textId="77777777" w:rsidR="004D417B" w:rsidRPr="00F12C59" w:rsidRDefault="004D417B" w:rsidP="004B4FDC">
            <w:pPr>
              <w:spacing w:after="0"/>
              <w:ind w:firstLine="0"/>
              <w:jc w:val="right"/>
              <w:rPr>
                <w:color w:val="000000"/>
                <w:sz w:val="18"/>
                <w:szCs w:val="18"/>
                <w:lang w:eastAsia="lv-LV"/>
              </w:rPr>
            </w:pPr>
            <w:r w:rsidRPr="00F7363F">
              <w:rPr>
                <w:color w:val="000000"/>
                <w:sz w:val="18"/>
                <w:szCs w:val="18"/>
              </w:rPr>
              <w:t>9 673 315</w:t>
            </w:r>
          </w:p>
        </w:tc>
      </w:tr>
      <w:tr w:rsidR="004D417B" w:rsidRPr="00FA2E2A" w14:paraId="6030DD00" w14:textId="77777777" w:rsidTr="004B4FDC">
        <w:trPr>
          <w:trHeight w:val="43"/>
        </w:trPr>
        <w:tc>
          <w:tcPr>
            <w:tcW w:w="6658" w:type="dxa"/>
            <w:tcBorders>
              <w:top w:val="nil"/>
              <w:left w:val="single" w:sz="4" w:space="0" w:color="auto"/>
              <w:bottom w:val="single" w:sz="4" w:space="0" w:color="auto"/>
              <w:right w:val="single" w:sz="4" w:space="0" w:color="auto"/>
            </w:tcBorders>
            <w:shd w:val="clear" w:color="auto" w:fill="auto"/>
            <w:vAlign w:val="bottom"/>
            <w:hideMark/>
          </w:tcPr>
          <w:p w14:paraId="3E13079D" w14:textId="77777777" w:rsidR="004D417B" w:rsidRPr="00F12C59" w:rsidRDefault="004D417B" w:rsidP="004B4FDC">
            <w:pPr>
              <w:spacing w:after="0"/>
              <w:ind w:firstLine="0"/>
              <w:jc w:val="left"/>
              <w:rPr>
                <w:color w:val="000000"/>
                <w:sz w:val="18"/>
                <w:szCs w:val="18"/>
                <w:lang w:eastAsia="lv-LV"/>
              </w:rPr>
            </w:pPr>
            <w:r w:rsidRPr="00F12C59">
              <w:rPr>
                <w:color w:val="000000"/>
                <w:sz w:val="18"/>
                <w:szCs w:val="18"/>
              </w:rPr>
              <w:t xml:space="preserve">Mērķis </w:t>
            </w:r>
            <w:r>
              <w:rPr>
                <w:color w:val="000000"/>
                <w:sz w:val="18"/>
                <w:szCs w:val="18"/>
              </w:rPr>
              <w:t>“</w:t>
            </w:r>
            <w:r w:rsidRPr="00F12C59">
              <w:rPr>
                <w:color w:val="000000"/>
                <w:sz w:val="18"/>
                <w:szCs w:val="18"/>
              </w:rPr>
              <w:t>Eiropas teritoriālā sadarbība</w:t>
            </w:r>
            <w:r>
              <w:rPr>
                <w:color w:val="000000"/>
                <w:sz w:val="18"/>
                <w:szCs w:val="18"/>
              </w:rPr>
              <w:t>”</w:t>
            </w:r>
          </w:p>
        </w:tc>
        <w:tc>
          <w:tcPr>
            <w:tcW w:w="2409" w:type="dxa"/>
            <w:tcBorders>
              <w:top w:val="nil"/>
              <w:left w:val="nil"/>
              <w:bottom w:val="single" w:sz="4" w:space="0" w:color="auto"/>
              <w:right w:val="single" w:sz="4" w:space="0" w:color="auto"/>
            </w:tcBorders>
            <w:shd w:val="clear" w:color="auto" w:fill="auto"/>
            <w:noWrap/>
            <w:vAlign w:val="bottom"/>
            <w:hideMark/>
          </w:tcPr>
          <w:p w14:paraId="7B17EECB" w14:textId="77777777" w:rsidR="004D417B" w:rsidRPr="00F12C59" w:rsidRDefault="004D417B" w:rsidP="004B4FDC">
            <w:pPr>
              <w:spacing w:after="0"/>
              <w:ind w:firstLine="0"/>
              <w:jc w:val="right"/>
              <w:rPr>
                <w:color w:val="000000"/>
                <w:sz w:val="18"/>
                <w:szCs w:val="18"/>
                <w:lang w:eastAsia="lv-LV"/>
              </w:rPr>
            </w:pPr>
            <w:r w:rsidRPr="00F7363F">
              <w:rPr>
                <w:color w:val="000000"/>
                <w:sz w:val="18"/>
                <w:szCs w:val="18"/>
              </w:rPr>
              <w:t>27 871 906</w:t>
            </w:r>
          </w:p>
        </w:tc>
      </w:tr>
      <w:tr w:rsidR="004D417B" w:rsidRPr="00FA2E2A" w14:paraId="1B8A39DB" w14:textId="77777777" w:rsidTr="004B4FDC">
        <w:trPr>
          <w:trHeight w:val="43"/>
        </w:trPr>
        <w:tc>
          <w:tcPr>
            <w:tcW w:w="6658" w:type="dxa"/>
            <w:tcBorders>
              <w:top w:val="nil"/>
              <w:left w:val="single" w:sz="4" w:space="0" w:color="auto"/>
              <w:bottom w:val="single" w:sz="4" w:space="0" w:color="auto"/>
              <w:right w:val="single" w:sz="4" w:space="0" w:color="auto"/>
            </w:tcBorders>
            <w:shd w:val="clear" w:color="auto" w:fill="auto"/>
            <w:vAlign w:val="bottom"/>
            <w:hideMark/>
          </w:tcPr>
          <w:p w14:paraId="4D9B418F" w14:textId="77777777" w:rsidR="004D417B" w:rsidRPr="00F12C59" w:rsidRDefault="004D417B" w:rsidP="004B4FDC">
            <w:pPr>
              <w:spacing w:after="0"/>
              <w:ind w:firstLine="0"/>
              <w:jc w:val="left"/>
              <w:rPr>
                <w:color w:val="000000"/>
                <w:sz w:val="18"/>
                <w:szCs w:val="18"/>
                <w:lang w:eastAsia="lv-LV"/>
              </w:rPr>
            </w:pPr>
            <w:r w:rsidRPr="00F12C59">
              <w:rPr>
                <w:color w:val="000000"/>
                <w:sz w:val="18"/>
                <w:szCs w:val="18"/>
              </w:rPr>
              <w:t>Citi Eiropas Savienības politiku instrumenti</w:t>
            </w:r>
          </w:p>
        </w:tc>
        <w:tc>
          <w:tcPr>
            <w:tcW w:w="2409" w:type="dxa"/>
            <w:tcBorders>
              <w:top w:val="nil"/>
              <w:left w:val="nil"/>
              <w:bottom w:val="single" w:sz="4" w:space="0" w:color="auto"/>
              <w:right w:val="single" w:sz="4" w:space="0" w:color="auto"/>
            </w:tcBorders>
            <w:shd w:val="clear" w:color="auto" w:fill="auto"/>
            <w:vAlign w:val="bottom"/>
            <w:hideMark/>
          </w:tcPr>
          <w:p w14:paraId="582EEEC1" w14:textId="77777777" w:rsidR="004D417B" w:rsidRPr="00F12C59" w:rsidRDefault="004D417B" w:rsidP="004B4FDC">
            <w:pPr>
              <w:spacing w:after="0"/>
              <w:ind w:firstLine="0"/>
              <w:jc w:val="right"/>
              <w:rPr>
                <w:color w:val="000000"/>
                <w:sz w:val="18"/>
                <w:szCs w:val="18"/>
                <w:lang w:eastAsia="lv-LV"/>
              </w:rPr>
            </w:pPr>
            <w:r w:rsidRPr="00F7363F">
              <w:rPr>
                <w:color w:val="000000"/>
                <w:sz w:val="18"/>
                <w:szCs w:val="18"/>
              </w:rPr>
              <w:t>661 444 798</w:t>
            </w:r>
          </w:p>
        </w:tc>
      </w:tr>
      <w:tr w:rsidR="004D417B" w:rsidRPr="00FA2E2A" w14:paraId="5C7A41B0" w14:textId="77777777" w:rsidTr="004B4FDC">
        <w:trPr>
          <w:trHeight w:val="43"/>
        </w:trPr>
        <w:tc>
          <w:tcPr>
            <w:tcW w:w="6658" w:type="dxa"/>
            <w:tcBorders>
              <w:top w:val="nil"/>
              <w:left w:val="single" w:sz="4" w:space="0" w:color="auto"/>
              <w:bottom w:val="single" w:sz="4" w:space="0" w:color="auto"/>
              <w:right w:val="single" w:sz="4" w:space="0" w:color="auto"/>
            </w:tcBorders>
            <w:shd w:val="clear" w:color="auto" w:fill="auto"/>
            <w:vAlign w:val="bottom"/>
            <w:hideMark/>
          </w:tcPr>
          <w:p w14:paraId="20DA54F0" w14:textId="77777777" w:rsidR="004D417B" w:rsidRPr="00F12C59" w:rsidRDefault="004D417B" w:rsidP="004B4FDC">
            <w:pPr>
              <w:spacing w:after="0"/>
              <w:ind w:firstLine="0"/>
              <w:jc w:val="left"/>
              <w:rPr>
                <w:i/>
                <w:iCs/>
                <w:color w:val="000000"/>
                <w:sz w:val="18"/>
                <w:szCs w:val="18"/>
                <w:lang w:eastAsia="lv-LV"/>
              </w:rPr>
            </w:pPr>
            <w:r w:rsidRPr="00F12C59">
              <w:rPr>
                <w:i/>
                <w:iCs/>
                <w:color w:val="0070C0"/>
                <w:sz w:val="18"/>
                <w:szCs w:val="18"/>
              </w:rPr>
              <w:t xml:space="preserve">  tai skaitā Atveseļošanas un noturības mehānisms</w:t>
            </w:r>
          </w:p>
        </w:tc>
        <w:tc>
          <w:tcPr>
            <w:tcW w:w="2409" w:type="dxa"/>
            <w:tcBorders>
              <w:top w:val="nil"/>
              <w:left w:val="nil"/>
              <w:bottom w:val="single" w:sz="4" w:space="0" w:color="auto"/>
              <w:right w:val="single" w:sz="4" w:space="0" w:color="auto"/>
            </w:tcBorders>
            <w:shd w:val="clear" w:color="auto" w:fill="auto"/>
            <w:vAlign w:val="bottom"/>
            <w:hideMark/>
          </w:tcPr>
          <w:p w14:paraId="72F92E83" w14:textId="77777777" w:rsidR="004D417B" w:rsidRPr="00F12C59" w:rsidRDefault="004D417B" w:rsidP="004B4FDC">
            <w:pPr>
              <w:spacing w:after="0"/>
              <w:ind w:firstLine="0"/>
              <w:jc w:val="right"/>
              <w:rPr>
                <w:i/>
                <w:iCs/>
                <w:color w:val="000000"/>
                <w:sz w:val="18"/>
                <w:szCs w:val="18"/>
                <w:lang w:eastAsia="lv-LV"/>
              </w:rPr>
            </w:pPr>
            <w:r w:rsidRPr="00C16CE9">
              <w:rPr>
                <w:i/>
                <w:iCs/>
                <w:color w:val="0070C0"/>
                <w:sz w:val="18"/>
                <w:szCs w:val="18"/>
              </w:rPr>
              <w:t xml:space="preserve">494 </w:t>
            </w:r>
            <w:r>
              <w:rPr>
                <w:i/>
                <w:iCs/>
                <w:color w:val="0070C0"/>
                <w:sz w:val="18"/>
                <w:szCs w:val="18"/>
              </w:rPr>
              <w:t>207</w:t>
            </w:r>
            <w:r w:rsidRPr="00C16CE9">
              <w:rPr>
                <w:i/>
                <w:iCs/>
                <w:color w:val="0070C0"/>
                <w:sz w:val="18"/>
                <w:szCs w:val="18"/>
              </w:rPr>
              <w:t xml:space="preserve"> </w:t>
            </w:r>
            <w:r>
              <w:rPr>
                <w:i/>
                <w:iCs/>
                <w:color w:val="0070C0"/>
                <w:sz w:val="18"/>
                <w:szCs w:val="18"/>
              </w:rPr>
              <w:t>672</w:t>
            </w:r>
          </w:p>
        </w:tc>
      </w:tr>
      <w:tr w:rsidR="004D417B" w:rsidRPr="00FA2E2A" w14:paraId="4C881EC0" w14:textId="77777777" w:rsidTr="004B4FDC">
        <w:trPr>
          <w:trHeight w:val="43"/>
        </w:trPr>
        <w:tc>
          <w:tcPr>
            <w:tcW w:w="6658" w:type="dxa"/>
            <w:tcBorders>
              <w:top w:val="nil"/>
              <w:left w:val="single" w:sz="4" w:space="0" w:color="auto"/>
              <w:bottom w:val="single" w:sz="4" w:space="0" w:color="auto"/>
              <w:right w:val="single" w:sz="4" w:space="0" w:color="auto"/>
            </w:tcBorders>
            <w:shd w:val="clear" w:color="auto" w:fill="auto"/>
            <w:vAlign w:val="bottom"/>
            <w:hideMark/>
          </w:tcPr>
          <w:p w14:paraId="5936DE91" w14:textId="77777777" w:rsidR="004D417B" w:rsidRPr="00F12C59" w:rsidRDefault="004D417B" w:rsidP="004B4FDC">
            <w:pPr>
              <w:spacing w:after="0"/>
              <w:ind w:firstLine="0"/>
              <w:jc w:val="left"/>
              <w:rPr>
                <w:color w:val="000000"/>
                <w:sz w:val="18"/>
                <w:szCs w:val="18"/>
                <w:lang w:eastAsia="lv-LV"/>
              </w:rPr>
            </w:pPr>
            <w:r w:rsidRPr="00F12C59">
              <w:rPr>
                <w:color w:val="000000"/>
                <w:sz w:val="18"/>
                <w:szCs w:val="18"/>
              </w:rPr>
              <w:t>Eiropas Ekonomikas zonas un Norvēģijas finanšu instrumentu finansētie projekti</w:t>
            </w:r>
          </w:p>
        </w:tc>
        <w:tc>
          <w:tcPr>
            <w:tcW w:w="2409" w:type="dxa"/>
            <w:tcBorders>
              <w:top w:val="nil"/>
              <w:left w:val="nil"/>
              <w:bottom w:val="single" w:sz="4" w:space="0" w:color="auto"/>
              <w:right w:val="single" w:sz="4" w:space="0" w:color="auto"/>
            </w:tcBorders>
            <w:shd w:val="clear" w:color="auto" w:fill="auto"/>
            <w:vAlign w:val="bottom"/>
            <w:hideMark/>
          </w:tcPr>
          <w:p w14:paraId="29055484" w14:textId="77777777" w:rsidR="004D417B" w:rsidRPr="00F12C59" w:rsidRDefault="004D417B" w:rsidP="004B4FDC">
            <w:pPr>
              <w:spacing w:after="0"/>
              <w:ind w:firstLine="0"/>
              <w:jc w:val="right"/>
              <w:rPr>
                <w:color w:val="000000"/>
                <w:sz w:val="18"/>
                <w:szCs w:val="18"/>
                <w:lang w:eastAsia="lv-LV"/>
              </w:rPr>
            </w:pPr>
            <w:r w:rsidRPr="0082721B">
              <w:rPr>
                <w:color w:val="000000"/>
                <w:sz w:val="18"/>
                <w:szCs w:val="18"/>
              </w:rPr>
              <w:t>471 680</w:t>
            </w:r>
          </w:p>
        </w:tc>
      </w:tr>
      <w:tr w:rsidR="004D417B" w:rsidRPr="00FA2E2A" w14:paraId="26A81D82" w14:textId="77777777" w:rsidTr="004B4FDC">
        <w:trPr>
          <w:trHeight w:val="43"/>
        </w:trPr>
        <w:tc>
          <w:tcPr>
            <w:tcW w:w="6658" w:type="dxa"/>
            <w:tcBorders>
              <w:top w:val="nil"/>
              <w:left w:val="single" w:sz="4" w:space="0" w:color="auto"/>
              <w:bottom w:val="single" w:sz="4" w:space="0" w:color="auto"/>
              <w:right w:val="single" w:sz="4" w:space="0" w:color="auto"/>
            </w:tcBorders>
            <w:shd w:val="clear" w:color="auto" w:fill="auto"/>
            <w:vAlign w:val="bottom"/>
            <w:hideMark/>
          </w:tcPr>
          <w:p w14:paraId="1D107A94" w14:textId="77777777" w:rsidR="004D417B" w:rsidRPr="00F12C59" w:rsidRDefault="004D417B" w:rsidP="004B4FDC">
            <w:pPr>
              <w:spacing w:after="0"/>
              <w:ind w:firstLine="0"/>
              <w:jc w:val="left"/>
              <w:rPr>
                <w:color w:val="000000"/>
                <w:sz w:val="18"/>
                <w:szCs w:val="18"/>
                <w:lang w:eastAsia="lv-LV"/>
              </w:rPr>
            </w:pPr>
            <w:r w:rsidRPr="00F12C59">
              <w:rPr>
                <w:color w:val="000000"/>
                <w:sz w:val="18"/>
                <w:szCs w:val="18"/>
              </w:rPr>
              <w:t>Šveices sadarbības programma</w:t>
            </w:r>
          </w:p>
        </w:tc>
        <w:tc>
          <w:tcPr>
            <w:tcW w:w="2409" w:type="dxa"/>
            <w:tcBorders>
              <w:top w:val="nil"/>
              <w:left w:val="nil"/>
              <w:bottom w:val="single" w:sz="4" w:space="0" w:color="auto"/>
              <w:right w:val="single" w:sz="4" w:space="0" w:color="auto"/>
            </w:tcBorders>
            <w:shd w:val="clear" w:color="auto" w:fill="auto"/>
            <w:noWrap/>
            <w:vAlign w:val="bottom"/>
            <w:hideMark/>
          </w:tcPr>
          <w:p w14:paraId="1C3B368A" w14:textId="77777777" w:rsidR="004D417B" w:rsidRPr="00F12C59" w:rsidRDefault="004D417B" w:rsidP="004B4FDC">
            <w:pPr>
              <w:spacing w:after="0"/>
              <w:ind w:firstLine="0"/>
              <w:jc w:val="right"/>
              <w:rPr>
                <w:color w:val="000000"/>
                <w:sz w:val="18"/>
                <w:szCs w:val="18"/>
                <w:lang w:eastAsia="lv-LV"/>
              </w:rPr>
            </w:pPr>
            <w:r w:rsidRPr="0082721B">
              <w:rPr>
                <w:color w:val="000000"/>
                <w:sz w:val="18"/>
                <w:szCs w:val="18"/>
              </w:rPr>
              <w:t>87 487</w:t>
            </w:r>
          </w:p>
        </w:tc>
      </w:tr>
      <w:tr w:rsidR="004D417B" w:rsidRPr="00FA2E2A" w14:paraId="78AC1A8C" w14:textId="77777777" w:rsidTr="004B4FDC">
        <w:trPr>
          <w:trHeight w:val="43"/>
        </w:trPr>
        <w:tc>
          <w:tcPr>
            <w:tcW w:w="665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A80C1BF" w14:textId="77777777" w:rsidR="004D417B" w:rsidRPr="00F12C59" w:rsidRDefault="004D417B" w:rsidP="004B4FDC">
            <w:pPr>
              <w:spacing w:after="0"/>
              <w:ind w:firstLine="0"/>
              <w:jc w:val="left"/>
              <w:rPr>
                <w:b/>
                <w:bCs/>
                <w:color w:val="000000"/>
                <w:sz w:val="18"/>
                <w:szCs w:val="18"/>
                <w:lang w:eastAsia="lv-LV"/>
              </w:rPr>
            </w:pPr>
            <w:r w:rsidRPr="00F12C59">
              <w:rPr>
                <w:color w:val="000000"/>
                <w:sz w:val="18"/>
                <w:szCs w:val="18"/>
              </w:rPr>
              <w:t>Citi ārvalstu finanšu palīdzības līdzfinansētie projekti</w:t>
            </w:r>
          </w:p>
        </w:tc>
        <w:tc>
          <w:tcPr>
            <w:tcW w:w="2409" w:type="dxa"/>
            <w:tcBorders>
              <w:top w:val="single" w:sz="4" w:space="0" w:color="auto"/>
              <w:left w:val="nil"/>
              <w:bottom w:val="single" w:sz="4" w:space="0" w:color="auto"/>
              <w:right w:val="single" w:sz="4" w:space="0" w:color="auto"/>
            </w:tcBorders>
            <w:shd w:val="clear" w:color="auto" w:fill="auto"/>
            <w:vAlign w:val="bottom"/>
            <w:hideMark/>
          </w:tcPr>
          <w:p w14:paraId="589574BB" w14:textId="77777777" w:rsidR="004D417B" w:rsidRPr="00F12C59" w:rsidRDefault="004D417B" w:rsidP="004B4FDC">
            <w:pPr>
              <w:spacing w:after="0"/>
              <w:ind w:firstLine="0"/>
              <w:jc w:val="right"/>
              <w:rPr>
                <w:b/>
                <w:bCs/>
                <w:color w:val="000000"/>
                <w:sz w:val="18"/>
                <w:szCs w:val="18"/>
                <w:lang w:eastAsia="lv-LV"/>
              </w:rPr>
            </w:pPr>
            <w:r w:rsidRPr="0082721B">
              <w:rPr>
                <w:color w:val="000000"/>
                <w:sz w:val="18"/>
                <w:szCs w:val="18"/>
              </w:rPr>
              <w:t>9 234 025</w:t>
            </w:r>
          </w:p>
        </w:tc>
      </w:tr>
      <w:tr w:rsidR="004D417B" w:rsidRPr="00FA2E2A" w14:paraId="6352FBEC" w14:textId="77777777" w:rsidTr="004B4FDC">
        <w:trPr>
          <w:trHeight w:val="43"/>
        </w:trPr>
        <w:tc>
          <w:tcPr>
            <w:tcW w:w="6658" w:type="dxa"/>
            <w:tcBorders>
              <w:top w:val="single" w:sz="4" w:space="0" w:color="auto"/>
              <w:left w:val="single" w:sz="4" w:space="0" w:color="auto"/>
              <w:bottom w:val="single" w:sz="4" w:space="0" w:color="auto"/>
              <w:right w:val="single" w:sz="4" w:space="0" w:color="auto"/>
            </w:tcBorders>
            <w:shd w:val="clear" w:color="auto" w:fill="auto"/>
            <w:vAlign w:val="bottom"/>
          </w:tcPr>
          <w:p w14:paraId="7D836D48" w14:textId="77777777" w:rsidR="004D417B" w:rsidRPr="00F12C59" w:rsidRDefault="004D417B" w:rsidP="004B4FDC">
            <w:pPr>
              <w:spacing w:after="0"/>
              <w:ind w:firstLine="0"/>
              <w:jc w:val="left"/>
              <w:rPr>
                <w:color w:val="000000"/>
                <w:sz w:val="18"/>
                <w:szCs w:val="18"/>
              </w:rPr>
            </w:pPr>
            <w:r w:rsidRPr="00C16CE9">
              <w:rPr>
                <w:color w:val="000000"/>
                <w:sz w:val="18"/>
                <w:szCs w:val="18"/>
              </w:rPr>
              <w:t>Taisnīgas pārkārtošanās fonds</w:t>
            </w:r>
          </w:p>
        </w:tc>
        <w:tc>
          <w:tcPr>
            <w:tcW w:w="2409" w:type="dxa"/>
            <w:tcBorders>
              <w:top w:val="single" w:sz="4" w:space="0" w:color="auto"/>
              <w:left w:val="nil"/>
              <w:bottom w:val="single" w:sz="4" w:space="0" w:color="auto"/>
              <w:right w:val="single" w:sz="4" w:space="0" w:color="auto"/>
            </w:tcBorders>
            <w:shd w:val="clear" w:color="auto" w:fill="auto"/>
            <w:vAlign w:val="bottom"/>
          </w:tcPr>
          <w:p w14:paraId="3604703F" w14:textId="77777777" w:rsidR="004D417B" w:rsidRPr="0082721B" w:rsidRDefault="004D417B" w:rsidP="004B4FDC">
            <w:pPr>
              <w:spacing w:after="0"/>
              <w:ind w:firstLine="0"/>
              <w:jc w:val="right"/>
              <w:rPr>
                <w:color w:val="000000"/>
                <w:sz w:val="18"/>
                <w:szCs w:val="18"/>
              </w:rPr>
            </w:pPr>
            <w:r w:rsidRPr="00C16CE9">
              <w:rPr>
                <w:color w:val="000000"/>
                <w:sz w:val="18"/>
                <w:szCs w:val="18"/>
              </w:rPr>
              <w:t>5 899 725</w:t>
            </w:r>
          </w:p>
        </w:tc>
      </w:tr>
      <w:tr w:rsidR="004D417B" w:rsidRPr="00FA2E2A" w14:paraId="2EC0747B" w14:textId="77777777" w:rsidTr="00F942CF">
        <w:trPr>
          <w:trHeight w:val="669"/>
        </w:trPr>
        <w:tc>
          <w:tcPr>
            <w:tcW w:w="6658" w:type="dxa"/>
            <w:tcBorders>
              <w:top w:val="single" w:sz="4" w:space="0" w:color="auto"/>
              <w:left w:val="single" w:sz="4" w:space="0" w:color="auto"/>
              <w:bottom w:val="single" w:sz="4" w:space="0" w:color="auto"/>
              <w:right w:val="single" w:sz="4" w:space="0" w:color="auto"/>
            </w:tcBorders>
            <w:shd w:val="clear" w:color="000000" w:fill="DAEEF3"/>
            <w:vAlign w:val="bottom"/>
          </w:tcPr>
          <w:p w14:paraId="0197812D" w14:textId="77777777" w:rsidR="004D417B" w:rsidRPr="00E802E1" w:rsidRDefault="004D417B" w:rsidP="004B4FDC">
            <w:pPr>
              <w:spacing w:after="0"/>
              <w:ind w:firstLine="0"/>
              <w:jc w:val="left"/>
              <w:rPr>
                <w:b/>
                <w:bCs/>
                <w:color w:val="000000"/>
                <w:sz w:val="18"/>
                <w:szCs w:val="18"/>
              </w:rPr>
            </w:pPr>
            <w:r w:rsidRPr="00E802E1">
              <w:rPr>
                <w:b/>
                <w:bCs/>
                <w:color w:val="000000"/>
                <w:sz w:val="18"/>
                <w:szCs w:val="18"/>
              </w:rPr>
              <w:lastRenderedPageBreak/>
              <w:t xml:space="preserve">Budžeta resora </w:t>
            </w:r>
            <w:r>
              <w:rPr>
                <w:b/>
                <w:bCs/>
                <w:color w:val="000000"/>
                <w:sz w:val="18"/>
                <w:szCs w:val="18"/>
              </w:rPr>
              <w:t>“</w:t>
            </w:r>
            <w:r w:rsidRPr="00E802E1">
              <w:rPr>
                <w:b/>
                <w:bCs/>
                <w:color w:val="000000"/>
                <w:sz w:val="18"/>
                <w:szCs w:val="18"/>
              </w:rPr>
              <w:t xml:space="preserve">74.Gadskārtējā valsts budžeta izpildes procesā pārdalāmais finansējums” programmā 80.00.00 </w:t>
            </w:r>
            <w:r>
              <w:rPr>
                <w:b/>
                <w:bCs/>
                <w:color w:val="000000"/>
                <w:sz w:val="18"/>
                <w:szCs w:val="18"/>
              </w:rPr>
              <w:t>“</w:t>
            </w:r>
            <w:r w:rsidRPr="00E802E1">
              <w:rPr>
                <w:b/>
                <w:bCs/>
                <w:color w:val="000000"/>
                <w:sz w:val="18"/>
                <w:szCs w:val="18"/>
              </w:rPr>
              <w:t>Nesadalītais finansējums Eiropas Savienības politiku instrumentu un pārējās ārvalstu finanšu palīdzības līdzfinansēto projektu un pasākumu īstenošanai” plānotais finansējums</w:t>
            </w:r>
          </w:p>
        </w:tc>
        <w:tc>
          <w:tcPr>
            <w:tcW w:w="2409" w:type="dxa"/>
            <w:tcBorders>
              <w:top w:val="single" w:sz="4" w:space="0" w:color="auto"/>
              <w:left w:val="nil"/>
              <w:bottom w:val="single" w:sz="4" w:space="0" w:color="auto"/>
              <w:right w:val="single" w:sz="4" w:space="0" w:color="auto"/>
            </w:tcBorders>
            <w:shd w:val="clear" w:color="000000" w:fill="DAEEF3"/>
          </w:tcPr>
          <w:p w14:paraId="2C43592A" w14:textId="77777777" w:rsidR="004D417B" w:rsidRPr="00E802E1" w:rsidRDefault="004D417B" w:rsidP="00F942CF">
            <w:pPr>
              <w:spacing w:after="0"/>
              <w:ind w:firstLine="0"/>
              <w:jc w:val="right"/>
              <w:rPr>
                <w:b/>
                <w:bCs/>
                <w:color w:val="000000"/>
                <w:sz w:val="18"/>
                <w:szCs w:val="18"/>
              </w:rPr>
            </w:pPr>
            <w:r w:rsidRPr="00E74770">
              <w:rPr>
                <w:b/>
                <w:bCs/>
                <w:color w:val="000000"/>
                <w:sz w:val="18"/>
                <w:szCs w:val="18"/>
              </w:rPr>
              <w:t>982 006 477</w:t>
            </w:r>
          </w:p>
        </w:tc>
      </w:tr>
    </w:tbl>
    <w:p w14:paraId="6DD815D9" w14:textId="77777777" w:rsidR="004D417B" w:rsidRPr="00A91F8D" w:rsidRDefault="004D417B" w:rsidP="004D417B">
      <w:pPr>
        <w:spacing w:before="120" w:after="0"/>
        <w:ind w:firstLine="720"/>
      </w:pPr>
      <w:r w:rsidRPr="00A91F8D">
        <w:rPr>
          <w:b/>
        </w:rPr>
        <w:t>Valsts speciālā budžeta</w:t>
      </w:r>
      <w:r w:rsidRPr="00A91F8D">
        <w:t xml:space="preserve"> </w:t>
      </w:r>
      <w:r w:rsidRPr="00A91F8D">
        <w:rPr>
          <w:b/>
        </w:rPr>
        <w:t>izdevumi</w:t>
      </w:r>
      <w:r w:rsidRPr="00A91F8D">
        <w:t xml:space="preserve"> 2025. gadam plānoti 4 743,6 milj. </w:t>
      </w:r>
      <w:proofErr w:type="spellStart"/>
      <w:r w:rsidRPr="00A91F8D">
        <w:rPr>
          <w:i/>
        </w:rPr>
        <w:t>euro</w:t>
      </w:r>
      <w:proofErr w:type="spellEnd"/>
      <w:r w:rsidRPr="00A91F8D">
        <w:t xml:space="preserve"> apmērā, kas, salīdzinot ar 2024. gada plānu, veido palielinājumu par 9,0% jeb 391,1 milj. </w:t>
      </w:r>
      <w:proofErr w:type="spellStart"/>
      <w:r w:rsidRPr="00A91F8D">
        <w:rPr>
          <w:i/>
        </w:rPr>
        <w:t>euro</w:t>
      </w:r>
      <w:proofErr w:type="spellEnd"/>
      <w:r w:rsidRPr="00A91F8D">
        <w:t>.</w:t>
      </w:r>
    </w:p>
    <w:p w14:paraId="2D5B0AAC" w14:textId="0EE623BB" w:rsidR="004D417B" w:rsidRPr="004D417B" w:rsidRDefault="004D417B" w:rsidP="004D417B">
      <w:pPr>
        <w:spacing w:before="240"/>
        <w:ind w:firstLine="0"/>
        <w:jc w:val="center"/>
        <w:rPr>
          <w:b/>
          <w:i/>
        </w:rPr>
      </w:pPr>
      <w:r w:rsidRPr="00BC006C">
        <w:rPr>
          <w:b/>
          <w:i/>
        </w:rPr>
        <w:t xml:space="preserve">5.4.attēls </w:t>
      </w:r>
      <w:r w:rsidRPr="00BC006C">
        <w:rPr>
          <w:b/>
        </w:rPr>
        <w:t>Valsts speciālā budžeta izdevumi no 202</w:t>
      </w:r>
      <w:r>
        <w:rPr>
          <w:b/>
        </w:rPr>
        <w:t>4</w:t>
      </w:r>
      <w:r w:rsidRPr="00BC006C">
        <w:rPr>
          <w:b/>
        </w:rPr>
        <w:t>. līdz 202</w:t>
      </w:r>
      <w:r>
        <w:rPr>
          <w:b/>
        </w:rPr>
        <w:t>7</w:t>
      </w:r>
      <w:r w:rsidRPr="00BC006C">
        <w:rPr>
          <w:b/>
        </w:rPr>
        <w:t>. gadam, milj.</w:t>
      </w:r>
      <w:r w:rsidRPr="000D50C3">
        <w:rPr>
          <w:b/>
          <w:i/>
        </w:rPr>
        <w:t xml:space="preserve"> </w:t>
      </w:r>
      <w:proofErr w:type="spellStart"/>
      <w:r w:rsidRPr="000D50C3">
        <w:rPr>
          <w:b/>
          <w:i/>
        </w:rPr>
        <w:t>euro</w:t>
      </w:r>
      <w:proofErr w:type="spellEnd"/>
    </w:p>
    <w:p w14:paraId="18B5331E" w14:textId="77777777" w:rsidR="004D417B" w:rsidRPr="00515B10" w:rsidRDefault="004D417B" w:rsidP="004D417B">
      <w:pPr>
        <w:ind w:firstLine="0"/>
      </w:pPr>
      <w:r>
        <w:rPr>
          <w:noProof/>
          <w:lang w:eastAsia="lv-LV"/>
        </w:rPr>
        <w:drawing>
          <wp:inline distT="0" distB="0" distL="0" distR="0" wp14:anchorId="43A00D7B" wp14:editId="12BABC46">
            <wp:extent cx="5760085" cy="3295650"/>
            <wp:effectExtent l="0" t="0" r="12065" b="0"/>
            <wp:docPr id="566959899" name="Chart 1">
              <a:extLst xmlns:a="http://schemas.openxmlformats.org/drawingml/2006/main">
                <a:ext uri="{FF2B5EF4-FFF2-40B4-BE49-F238E27FC236}">
                  <a16:creationId xmlns:a16="http://schemas.microsoft.com/office/drawing/2014/main" id="{63BAF39C-AC39-45DD-8F30-054F865F244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Pr="004A1AB7">
        <w:rPr>
          <w:i/>
          <w:sz w:val="18"/>
          <w:szCs w:val="18"/>
        </w:rPr>
        <w:t xml:space="preserve">apakšprogrammas līmenī tiek izslēgti savstarpējie </w:t>
      </w:r>
      <w:proofErr w:type="spellStart"/>
      <w:r w:rsidRPr="004A1AB7">
        <w:rPr>
          <w:i/>
          <w:sz w:val="18"/>
          <w:szCs w:val="18"/>
        </w:rPr>
        <w:t>transferti</w:t>
      </w:r>
      <w:proofErr w:type="spellEnd"/>
    </w:p>
    <w:p w14:paraId="7A76B613" w14:textId="77777777" w:rsidR="004D417B" w:rsidRPr="00C15687" w:rsidRDefault="004D417B" w:rsidP="004D417B"/>
    <w:p w14:paraId="780651D7" w14:textId="77777777" w:rsidR="004D417B" w:rsidRPr="004D417B" w:rsidRDefault="004D417B" w:rsidP="004D417B"/>
    <w:sectPr w:rsidR="004D417B" w:rsidRPr="004D417B" w:rsidSect="00E365BB">
      <w:headerReference w:type="even" r:id="rId12"/>
      <w:headerReference w:type="default" r:id="rId13"/>
      <w:footerReference w:type="default" r:id="rId14"/>
      <w:pgSz w:w="11906" w:h="16838" w:code="9"/>
      <w:pgMar w:top="1418" w:right="1134" w:bottom="1134" w:left="1701" w:header="720" w:footer="720" w:gutter="0"/>
      <w:pgNumType w:start="15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C2A7BC" w14:textId="77777777" w:rsidR="00602581" w:rsidRDefault="00602581">
      <w:r>
        <w:separator/>
      </w:r>
    </w:p>
  </w:endnote>
  <w:endnote w:type="continuationSeparator" w:id="0">
    <w:p w14:paraId="69986AE4" w14:textId="77777777" w:rsidR="00602581" w:rsidRDefault="00602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ABA73F" w14:textId="25B3A125" w:rsidR="00602581" w:rsidRDefault="00602581">
    <w:pPr>
      <w:pStyle w:val="Footer"/>
    </w:pPr>
    <w:r>
      <w:rPr>
        <w:noProof/>
      </w:rPr>
      <w:fldChar w:fldCharType="begin"/>
    </w:r>
    <w:r>
      <w:rPr>
        <w:noProof/>
      </w:rPr>
      <w:instrText xml:space="preserve"> FILENAME   \* MERGEFORMAT </w:instrText>
    </w:r>
    <w:r>
      <w:rPr>
        <w:noProof/>
      </w:rPr>
      <w:fldChar w:fldCharType="separate"/>
    </w:r>
    <w:r w:rsidR="00385444">
      <w:rPr>
        <w:noProof/>
      </w:rPr>
      <w:t>FMPask_5.3_</w:t>
    </w:r>
    <w:r w:rsidR="005C54FE">
      <w:rPr>
        <w:noProof/>
      </w:rPr>
      <w:t>1</w:t>
    </w:r>
    <w:r w:rsidR="002E09A7">
      <w:rPr>
        <w:noProof/>
      </w:rPr>
      <w:t>4</w:t>
    </w:r>
    <w:r w:rsidR="00385444">
      <w:rPr>
        <w:noProof/>
      </w:rPr>
      <w:t>102</w:t>
    </w:r>
    <w:r w:rsidR="005C54FE">
      <w:rPr>
        <w:noProof/>
      </w:rPr>
      <w:t>4</w:t>
    </w:r>
    <w:r w:rsidR="00385444">
      <w:rPr>
        <w:noProof/>
      </w:rPr>
      <w:t>_proj202</w:t>
    </w:r>
    <w:r w:rsidR="005C54FE">
      <w:rPr>
        <w:noProof/>
      </w:rPr>
      <w:t>5</w:t>
    </w:r>
    <w:r w:rsidR="00385444">
      <w:rPr>
        <w:noProof/>
      </w:rPr>
      <w:t>.docx</w:t>
    </w:r>
    <w:r>
      <w:rPr>
        <w:noProof/>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E212CD" w14:textId="77777777" w:rsidR="00602581" w:rsidRDefault="00602581">
      <w:r>
        <w:separator/>
      </w:r>
    </w:p>
  </w:footnote>
  <w:footnote w:type="continuationSeparator" w:id="0">
    <w:p w14:paraId="0E882D9F" w14:textId="77777777" w:rsidR="00602581" w:rsidRDefault="006025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5DB626" w14:textId="77777777" w:rsidR="00602581" w:rsidRDefault="0060258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102</w:t>
    </w:r>
    <w:r>
      <w:rPr>
        <w:rStyle w:val="PageNumber"/>
      </w:rPr>
      <w:fldChar w:fldCharType="end"/>
    </w:r>
  </w:p>
  <w:p w14:paraId="6C21B8ED" w14:textId="77777777" w:rsidR="00602581" w:rsidRDefault="006025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00232301"/>
      <w:docPartObj>
        <w:docPartGallery w:val="Page Numbers (Top of Page)"/>
        <w:docPartUnique/>
      </w:docPartObj>
    </w:sdtPr>
    <w:sdtEndPr>
      <w:rPr>
        <w:noProof/>
      </w:rPr>
    </w:sdtEndPr>
    <w:sdtContent>
      <w:p w14:paraId="41BBD211" w14:textId="77777777" w:rsidR="00602581" w:rsidRDefault="00602581">
        <w:pPr>
          <w:pStyle w:val="Header"/>
          <w:jc w:val="center"/>
        </w:pPr>
        <w:r>
          <w:fldChar w:fldCharType="begin"/>
        </w:r>
        <w:r>
          <w:instrText xml:space="preserve"> PAGE   \* MERGEFORMAT </w:instrText>
        </w:r>
        <w:r>
          <w:fldChar w:fldCharType="separate"/>
        </w:r>
        <w:r w:rsidR="00DB1369">
          <w:rPr>
            <w:noProof/>
          </w:rPr>
          <w:t>134</w:t>
        </w:r>
        <w:r>
          <w:rPr>
            <w:noProof/>
          </w:rPr>
          <w:fldChar w:fldCharType="end"/>
        </w:r>
      </w:p>
    </w:sdtContent>
  </w:sdt>
  <w:p w14:paraId="5D76A6F2" w14:textId="318F9A1C" w:rsidR="00602581" w:rsidRDefault="00361F60" w:rsidP="00361F60">
    <w:pPr>
      <w:pStyle w:val="Header"/>
      <w:jc w:val="right"/>
    </w:pPr>
    <w:r w:rsidRPr="00671C22">
      <w:rPr>
        <w:sz w:val="20"/>
      </w:rPr>
      <w:t>Valsts budžets 202</w:t>
    </w:r>
    <w:r w:rsidR="005C54FE">
      <w:rPr>
        <w:sz w:val="20"/>
      </w:rPr>
      <w:t>5</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A60CC"/>
    <w:multiLevelType w:val="hybridMultilevel"/>
    <w:tmpl w:val="2EBEA276"/>
    <w:lvl w:ilvl="0" w:tplc="0024B62C">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36B48B1"/>
    <w:multiLevelType w:val="hybridMultilevel"/>
    <w:tmpl w:val="E758AD2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6563C1E"/>
    <w:multiLevelType w:val="hybridMultilevel"/>
    <w:tmpl w:val="3C5AA166"/>
    <w:lvl w:ilvl="0" w:tplc="64521DA4">
      <w:start w:val="1"/>
      <w:numFmt w:val="bullet"/>
      <w:lvlText w:val="•"/>
      <w:lvlJc w:val="left"/>
      <w:pPr>
        <w:tabs>
          <w:tab w:val="num" w:pos="720"/>
        </w:tabs>
        <w:ind w:left="720" w:hanging="360"/>
      </w:pPr>
      <w:rPr>
        <w:rFonts w:ascii="Times New Roman" w:hAnsi="Times New Roman" w:hint="default"/>
      </w:rPr>
    </w:lvl>
    <w:lvl w:ilvl="1" w:tplc="79AA0212">
      <w:start w:val="2512"/>
      <w:numFmt w:val="bullet"/>
      <w:lvlText w:val="–"/>
      <w:lvlJc w:val="left"/>
      <w:pPr>
        <w:tabs>
          <w:tab w:val="num" w:pos="1440"/>
        </w:tabs>
        <w:ind w:left="1440" w:hanging="360"/>
      </w:pPr>
      <w:rPr>
        <w:rFonts w:ascii="Times New Roman" w:hAnsi="Times New Roman" w:hint="default"/>
      </w:rPr>
    </w:lvl>
    <w:lvl w:ilvl="2" w:tplc="DFF663D0" w:tentative="1">
      <w:start w:val="1"/>
      <w:numFmt w:val="bullet"/>
      <w:lvlText w:val="•"/>
      <w:lvlJc w:val="left"/>
      <w:pPr>
        <w:tabs>
          <w:tab w:val="num" w:pos="2160"/>
        </w:tabs>
        <w:ind w:left="2160" w:hanging="360"/>
      </w:pPr>
      <w:rPr>
        <w:rFonts w:ascii="Times New Roman" w:hAnsi="Times New Roman" w:hint="default"/>
      </w:rPr>
    </w:lvl>
    <w:lvl w:ilvl="3" w:tplc="BB4AAC08" w:tentative="1">
      <w:start w:val="1"/>
      <w:numFmt w:val="bullet"/>
      <w:lvlText w:val="•"/>
      <w:lvlJc w:val="left"/>
      <w:pPr>
        <w:tabs>
          <w:tab w:val="num" w:pos="2880"/>
        </w:tabs>
        <w:ind w:left="2880" w:hanging="360"/>
      </w:pPr>
      <w:rPr>
        <w:rFonts w:ascii="Times New Roman" w:hAnsi="Times New Roman" w:hint="default"/>
      </w:rPr>
    </w:lvl>
    <w:lvl w:ilvl="4" w:tplc="4EAC968E" w:tentative="1">
      <w:start w:val="1"/>
      <w:numFmt w:val="bullet"/>
      <w:lvlText w:val="•"/>
      <w:lvlJc w:val="left"/>
      <w:pPr>
        <w:tabs>
          <w:tab w:val="num" w:pos="3600"/>
        </w:tabs>
        <w:ind w:left="3600" w:hanging="360"/>
      </w:pPr>
      <w:rPr>
        <w:rFonts w:ascii="Times New Roman" w:hAnsi="Times New Roman" w:hint="default"/>
      </w:rPr>
    </w:lvl>
    <w:lvl w:ilvl="5" w:tplc="4830AAFA" w:tentative="1">
      <w:start w:val="1"/>
      <w:numFmt w:val="bullet"/>
      <w:lvlText w:val="•"/>
      <w:lvlJc w:val="left"/>
      <w:pPr>
        <w:tabs>
          <w:tab w:val="num" w:pos="4320"/>
        </w:tabs>
        <w:ind w:left="4320" w:hanging="360"/>
      </w:pPr>
      <w:rPr>
        <w:rFonts w:ascii="Times New Roman" w:hAnsi="Times New Roman" w:hint="default"/>
      </w:rPr>
    </w:lvl>
    <w:lvl w:ilvl="6" w:tplc="AC408F5C" w:tentative="1">
      <w:start w:val="1"/>
      <w:numFmt w:val="bullet"/>
      <w:lvlText w:val="•"/>
      <w:lvlJc w:val="left"/>
      <w:pPr>
        <w:tabs>
          <w:tab w:val="num" w:pos="5040"/>
        </w:tabs>
        <w:ind w:left="5040" w:hanging="360"/>
      </w:pPr>
      <w:rPr>
        <w:rFonts w:ascii="Times New Roman" w:hAnsi="Times New Roman" w:hint="default"/>
      </w:rPr>
    </w:lvl>
    <w:lvl w:ilvl="7" w:tplc="63A8843C" w:tentative="1">
      <w:start w:val="1"/>
      <w:numFmt w:val="bullet"/>
      <w:lvlText w:val="•"/>
      <w:lvlJc w:val="left"/>
      <w:pPr>
        <w:tabs>
          <w:tab w:val="num" w:pos="5760"/>
        </w:tabs>
        <w:ind w:left="5760" w:hanging="360"/>
      </w:pPr>
      <w:rPr>
        <w:rFonts w:ascii="Times New Roman" w:hAnsi="Times New Roman" w:hint="default"/>
      </w:rPr>
    </w:lvl>
    <w:lvl w:ilvl="8" w:tplc="638C620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6D82D36"/>
    <w:multiLevelType w:val="hybridMultilevel"/>
    <w:tmpl w:val="9752C30E"/>
    <w:lvl w:ilvl="0" w:tplc="A6F45C90">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4" w15:restartNumberingAfterBreak="0">
    <w:nsid w:val="07B859AA"/>
    <w:multiLevelType w:val="hybridMultilevel"/>
    <w:tmpl w:val="0EC03ABC"/>
    <w:lvl w:ilvl="0" w:tplc="53208902">
      <w:start w:val="1"/>
      <w:numFmt w:val="decimal"/>
      <w:lvlText w:val="%1."/>
      <w:lvlJc w:val="left"/>
      <w:pPr>
        <w:ind w:left="720" w:hanging="360"/>
      </w:pPr>
      <w:rPr>
        <w:rFonts w:ascii="Times New Roman" w:hAnsi="Times New Roman"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7F45D69"/>
    <w:multiLevelType w:val="hybridMultilevel"/>
    <w:tmpl w:val="AE42B686"/>
    <w:lvl w:ilvl="0" w:tplc="1038B6CE">
      <w:start w:val="2014"/>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10F41E42"/>
    <w:multiLevelType w:val="hybridMultilevel"/>
    <w:tmpl w:val="DCA42934"/>
    <w:lvl w:ilvl="0" w:tplc="2AD82E80">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7B40DC"/>
    <w:multiLevelType w:val="hybridMultilevel"/>
    <w:tmpl w:val="1088AF40"/>
    <w:lvl w:ilvl="0" w:tplc="C96E3840">
      <w:start w:val="1"/>
      <w:numFmt w:val="bullet"/>
      <w:lvlText w:val="•"/>
      <w:lvlJc w:val="left"/>
      <w:pPr>
        <w:tabs>
          <w:tab w:val="num" w:pos="720"/>
        </w:tabs>
        <w:ind w:left="720" w:hanging="360"/>
      </w:pPr>
      <w:rPr>
        <w:rFonts w:ascii="Times New Roman" w:hAnsi="Times New Roman" w:hint="default"/>
      </w:rPr>
    </w:lvl>
    <w:lvl w:ilvl="1" w:tplc="6DD28E46" w:tentative="1">
      <w:start w:val="1"/>
      <w:numFmt w:val="bullet"/>
      <w:lvlText w:val="•"/>
      <w:lvlJc w:val="left"/>
      <w:pPr>
        <w:tabs>
          <w:tab w:val="num" w:pos="1440"/>
        </w:tabs>
        <w:ind w:left="1440" w:hanging="360"/>
      </w:pPr>
      <w:rPr>
        <w:rFonts w:ascii="Times New Roman" w:hAnsi="Times New Roman" w:hint="default"/>
      </w:rPr>
    </w:lvl>
    <w:lvl w:ilvl="2" w:tplc="AE14C33C" w:tentative="1">
      <w:start w:val="1"/>
      <w:numFmt w:val="bullet"/>
      <w:lvlText w:val="•"/>
      <w:lvlJc w:val="left"/>
      <w:pPr>
        <w:tabs>
          <w:tab w:val="num" w:pos="2160"/>
        </w:tabs>
        <w:ind w:left="2160" w:hanging="360"/>
      </w:pPr>
      <w:rPr>
        <w:rFonts w:ascii="Times New Roman" w:hAnsi="Times New Roman" w:hint="default"/>
      </w:rPr>
    </w:lvl>
    <w:lvl w:ilvl="3" w:tplc="7A3E3954" w:tentative="1">
      <w:start w:val="1"/>
      <w:numFmt w:val="bullet"/>
      <w:lvlText w:val="•"/>
      <w:lvlJc w:val="left"/>
      <w:pPr>
        <w:tabs>
          <w:tab w:val="num" w:pos="2880"/>
        </w:tabs>
        <w:ind w:left="2880" w:hanging="360"/>
      </w:pPr>
      <w:rPr>
        <w:rFonts w:ascii="Times New Roman" w:hAnsi="Times New Roman" w:hint="default"/>
      </w:rPr>
    </w:lvl>
    <w:lvl w:ilvl="4" w:tplc="AB36B8DE" w:tentative="1">
      <w:start w:val="1"/>
      <w:numFmt w:val="bullet"/>
      <w:lvlText w:val="•"/>
      <w:lvlJc w:val="left"/>
      <w:pPr>
        <w:tabs>
          <w:tab w:val="num" w:pos="3600"/>
        </w:tabs>
        <w:ind w:left="3600" w:hanging="360"/>
      </w:pPr>
      <w:rPr>
        <w:rFonts w:ascii="Times New Roman" w:hAnsi="Times New Roman" w:hint="default"/>
      </w:rPr>
    </w:lvl>
    <w:lvl w:ilvl="5" w:tplc="CBA06B4C" w:tentative="1">
      <w:start w:val="1"/>
      <w:numFmt w:val="bullet"/>
      <w:lvlText w:val="•"/>
      <w:lvlJc w:val="left"/>
      <w:pPr>
        <w:tabs>
          <w:tab w:val="num" w:pos="4320"/>
        </w:tabs>
        <w:ind w:left="4320" w:hanging="360"/>
      </w:pPr>
      <w:rPr>
        <w:rFonts w:ascii="Times New Roman" w:hAnsi="Times New Roman" w:hint="default"/>
      </w:rPr>
    </w:lvl>
    <w:lvl w:ilvl="6" w:tplc="B9B4CD86" w:tentative="1">
      <w:start w:val="1"/>
      <w:numFmt w:val="bullet"/>
      <w:lvlText w:val="•"/>
      <w:lvlJc w:val="left"/>
      <w:pPr>
        <w:tabs>
          <w:tab w:val="num" w:pos="5040"/>
        </w:tabs>
        <w:ind w:left="5040" w:hanging="360"/>
      </w:pPr>
      <w:rPr>
        <w:rFonts w:ascii="Times New Roman" w:hAnsi="Times New Roman" w:hint="default"/>
      </w:rPr>
    </w:lvl>
    <w:lvl w:ilvl="7" w:tplc="15DE6754" w:tentative="1">
      <w:start w:val="1"/>
      <w:numFmt w:val="bullet"/>
      <w:lvlText w:val="•"/>
      <w:lvlJc w:val="left"/>
      <w:pPr>
        <w:tabs>
          <w:tab w:val="num" w:pos="5760"/>
        </w:tabs>
        <w:ind w:left="5760" w:hanging="360"/>
      </w:pPr>
      <w:rPr>
        <w:rFonts w:ascii="Times New Roman" w:hAnsi="Times New Roman" w:hint="default"/>
      </w:rPr>
    </w:lvl>
    <w:lvl w:ilvl="8" w:tplc="84B464B4"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160A20F6"/>
    <w:multiLevelType w:val="hybridMultilevel"/>
    <w:tmpl w:val="67E89E2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17CE70BE"/>
    <w:multiLevelType w:val="hybridMultilevel"/>
    <w:tmpl w:val="0CD0D52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19656367"/>
    <w:multiLevelType w:val="hybridMultilevel"/>
    <w:tmpl w:val="4DCE5F26"/>
    <w:lvl w:ilvl="0" w:tplc="DDBE7A2A">
      <w:start w:val="1"/>
      <w:numFmt w:val="bullet"/>
      <w:lvlText w:val="•"/>
      <w:lvlJc w:val="left"/>
      <w:pPr>
        <w:ind w:left="720" w:hanging="360"/>
      </w:pPr>
      <w:rPr>
        <w:rFonts w:ascii="Times New Roman" w:hAnsi="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1AE74767"/>
    <w:multiLevelType w:val="hybridMultilevel"/>
    <w:tmpl w:val="F64AF972"/>
    <w:lvl w:ilvl="0" w:tplc="01DA5A1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1ECC2467"/>
    <w:multiLevelType w:val="hybridMultilevel"/>
    <w:tmpl w:val="5F103FA8"/>
    <w:lvl w:ilvl="0" w:tplc="44D89A26">
      <w:start w:val="1"/>
      <w:numFmt w:val="bullet"/>
      <w:lvlText w:val=""/>
      <w:lvlJc w:val="left"/>
      <w:pPr>
        <w:tabs>
          <w:tab w:val="num" w:pos="1069"/>
        </w:tabs>
        <w:ind w:left="1049" w:hanging="34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22DC112F"/>
    <w:multiLevelType w:val="hybridMultilevel"/>
    <w:tmpl w:val="0D62CF6C"/>
    <w:lvl w:ilvl="0" w:tplc="1E82D3C2">
      <w:start w:val="1"/>
      <w:numFmt w:val="lowerLetter"/>
      <w:lvlText w:val="%1)"/>
      <w:lvlJc w:val="left"/>
      <w:pPr>
        <w:ind w:left="1080" w:hanging="360"/>
      </w:pPr>
      <w:rPr>
        <w:rFonts w:ascii="Times New Roman" w:eastAsia="Times New Roman" w:hAnsi="Times New Roman" w:cs="Times New Roman"/>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2460324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49B1083"/>
    <w:multiLevelType w:val="hybridMultilevel"/>
    <w:tmpl w:val="6F0C917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252F26FD"/>
    <w:multiLevelType w:val="hybridMultilevel"/>
    <w:tmpl w:val="FCA846F2"/>
    <w:lvl w:ilvl="0" w:tplc="DDBE7A2A">
      <w:start w:val="1"/>
      <w:numFmt w:val="bullet"/>
      <w:lvlText w:val="•"/>
      <w:lvlJc w:val="left"/>
      <w:pPr>
        <w:ind w:left="720" w:hanging="360"/>
      </w:pPr>
      <w:rPr>
        <w:rFonts w:ascii="Times New Roman" w:hAnsi="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26DD27A1"/>
    <w:multiLevelType w:val="hybridMultilevel"/>
    <w:tmpl w:val="120EECF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29A60C4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4A55D84"/>
    <w:multiLevelType w:val="hybridMultilevel"/>
    <w:tmpl w:val="A954696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50F4F32"/>
    <w:multiLevelType w:val="hybridMultilevel"/>
    <w:tmpl w:val="C85041DC"/>
    <w:lvl w:ilvl="0" w:tplc="01DA5A16">
      <w:start w:val="1"/>
      <w:numFmt w:val="bullet"/>
      <w:lvlText w:val=""/>
      <w:lvlJc w:val="left"/>
      <w:pPr>
        <w:tabs>
          <w:tab w:val="num" w:pos="360"/>
        </w:tabs>
        <w:ind w:left="340" w:hanging="34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C472F51"/>
    <w:multiLevelType w:val="hybridMultilevel"/>
    <w:tmpl w:val="E62A5AB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3F107C81"/>
    <w:multiLevelType w:val="hybridMultilevel"/>
    <w:tmpl w:val="4DAC0DFE"/>
    <w:lvl w:ilvl="0" w:tplc="0809000F">
      <w:start w:val="1"/>
      <w:numFmt w:val="decimal"/>
      <w:lvlText w:val="%1."/>
      <w:lvlJc w:val="left"/>
      <w:pPr>
        <w:ind w:left="755" w:hanging="360"/>
      </w:pPr>
    </w:lvl>
    <w:lvl w:ilvl="1" w:tplc="08090019" w:tentative="1">
      <w:start w:val="1"/>
      <w:numFmt w:val="lowerLetter"/>
      <w:lvlText w:val="%2."/>
      <w:lvlJc w:val="left"/>
      <w:pPr>
        <w:ind w:left="1475" w:hanging="360"/>
      </w:pPr>
    </w:lvl>
    <w:lvl w:ilvl="2" w:tplc="0809001B" w:tentative="1">
      <w:start w:val="1"/>
      <w:numFmt w:val="lowerRoman"/>
      <w:lvlText w:val="%3."/>
      <w:lvlJc w:val="right"/>
      <w:pPr>
        <w:ind w:left="2195" w:hanging="180"/>
      </w:pPr>
    </w:lvl>
    <w:lvl w:ilvl="3" w:tplc="0809000F" w:tentative="1">
      <w:start w:val="1"/>
      <w:numFmt w:val="decimal"/>
      <w:lvlText w:val="%4."/>
      <w:lvlJc w:val="left"/>
      <w:pPr>
        <w:ind w:left="2915" w:hanging="360"/>
      </w:pPr>
    </w:lvl>
    <w:lvl w:ilvl="4" w:tplc="08090019" w:tentative="1">
      <w:start w:val="1"/>
      <w:numFmt w:val="lowerLetter"/>
      <w:lvlText w:val="%5."/>
      <w:lvlJc w:val="left"/>
      <w:pPr>
        <w:ind w:left="3635" w:hanging="360"/>
      </w:pPr>
    </w:lvl>
    <w:lvl w:ilvl="5" w:tplc="0809001B" w:tentative="1">
      <w:start w:val="1"/>
      <w:numFmt w:val="lowerRoman"/>
      <w:lvlText w:val="%6."/>
      <w:lvlJc w:val="right"/>
      <w:pPr>
        <w:ind w:left="4355" w:hanging="180"/>
      </w:pPr>
    </w:lvl>
    <w:lvl w:ilvl="6" w:tplc="0809000F" w:tentative="1">
      <w:start w:val="1"/>
      <w:numFmt w:val="decimal"/>
      <w:lvlText w:val="%7."/>
      <w:lvlJc w:val="left"/>
      <w:pPr>
        <w:ind w:left="5075" w:hanging="360"/>
      </w:pPr>
    </w:lvl>
    <w:lvl w:ilvl="7" w:tplc="08090019" w:tentative="1">
      <w:start w:val="1"/>
      <w:numFmt w:val="lowerLetter"/>
      <w:lvlText w:val="%8."/>
      <w:lvlJc w:val="left"/>
      <w:pPr>
        <w:ind w:left="5795" w:hanging="360"/>
      </w:pPr>
    </w:lvl>
    <w:lvl w:ilvl="8" w:tplc="0809001B" w:tentative="1">
      <w:start w:val="1"/>
      <w:numFmt w:val="lowerRoman"/>
      <w:lvlText w:val="%9."/>
      <w:lvlJc w:val="right"/>
      <w:pPr>
        <w:ind w:left="6515" w:hanging="180"/>
      </w:pPr>
    </w:lvl>
  </w:abstractNum>
  <w:abstractNum w:abstractNumId="23" w15:restartNumberingAfterBreak="0">
    <w:nsid w:val="3FEB53E1"/>
    <w:multiLevelType w:val="hybridMultilevel"/>
    <w:tmpl w:val="6CF2FCC0"/>
    <w:lvl w:ilvl="0" w:tplc="0426000F">
      <w:start w:val="1"/>
      <w:numFmt w:val="decimal"/>
      <w:lvlText w:val="%1."/>
      <w:lvlJc w:val="left"/>
      <w:pPr>
        <w:ind w:left="1365" w:hanging="360"/>
      </w:pPr>
    </w:lvl>
    <w:lvl w:ilvl="1" w:tplc="04260019" w:tentative="1">
      <w:start w:val="1"/>
      <w:numFmt w:val="lowerLetter"/>
      <w:lvlText w:val="%2."/>
      <w:lvlJc w:val="left"/>
      <w:pPr>
        <w:ind w:left="2085" w:hanging="360"/>
      </w:pPr>
    </w:lvl>
    <w:lvl w:ilvl="2" w:tplc="0426001B" w:tentative="1">
      <w:start w:val="1"/>
      <w:numFmt w:val="lowerRoman"/>
      <w:lvlText w:val="%3."/>
      <w:lvlJc w:val="right"/>
      <w:pPr>
        <w:ind w:left="2805" w:hanging="180"/>
      </w:pPr>
    </w:lvl>
    <w:lvl w:ilvl="3" w:tplc="0426000F" w:tentative="1">
      <w:start w:val="1"/>
      <w:numFmt w:val="decimal"/>
      <w:lvlText w:val="%4."/>
      <w:lvlJc w:val="left"/>
      <w:pPr>
        <w:ind w:left="3525" w:hanging="360"/>
      </w:pPr>
    </w:lvl>
    <w:lvl w:ilvl="4" w:tplc="04260019" w:tentative="1">
      <w:start w:val="1"/>
      <w:numFmt w:val="lowerLetter"/>
      <w:lvlText w:val="%5."/>
      <w:lvlJc w:val="left"/>
      <w:pPr>
        <w:ind w:left="4245" w:hanging="360"/>
      </w:pPr>
    </w:lvl>
    <w:lvl w:ilvl="5" w:tplc="0426001B" w:tentative="1">
      <w:start w:val="1"/>
      <w:numFmt w:val="lowerRoman"/>
      <w:lvlText w:val="%6."/>
      <w:lvlJc w:val="right"/>
      <w:pPr>
        <w:ind w:left="4965" w:hanging="180"/>
      </w:pPr>
    </w:lvl>
    <w:lvl w:ilvl="6" w:tplc="0426000F" w:tentative="1">
      <w:start w:val="1"/>
      <w:numFmt w:val="decimal"/>
      <w:lvlText w:val="%7."/>
      <w:lvlJc w:val="left"/>
      <w:pPr>
        <w:ind w:left="5685" w:hanging="360"/>
      </w:pPr>
    </w:lvl>
    <w:lvl w:ilvl="7" w:tplc="04260019" w:tentative="1">
      <w:start w:val="1"/>
      <w:numFmt w:val="lowerLetter"/>
      <w:lvlText w:val="%8."/>
      <w:lvlJc w:val="left"/>
      <w:pPr>
        <w:ind w:left="6405" w:hanging="360"/>
      </w:pPr>
    </w:lvl>
    <w:lvl w:ilvl="8" w:tplc="0426001B" w:tentative="1">
      <w:start w:val="1"/>
      <w:numFmt w:val="lowerRoman"/>
      <w:lvlText w:val="%9."/>
      <w:lvlJc w:val="right"/>
      <w:pPr>
        <w:ind w:left="7125" w:hanging="180"/>
      </w:pPr>
    </w:lvl>
  </w:abstractNum>
  <w:abstractNum w:abstractNumId="24" w15:restartNumberingAfterBreak="0">
    <w:nsid w:val="418250A3"/>
    <w:multiLevelType w:val="hybridMultilevel"/>
    <w:tmpl w:val="7758CC5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44204C68"/>
    <w:multiLevelType w:val="hybridMultilevel"/>
    <w:tmpl w:val="E87EC4FE"/>
    <w:lvl w:ilvl="0" w:tplc="DDBE7A2A">
      <w:start w:val="1"/>
      <w:numFmt w:val="bullet"/>
      <w:lvlText w:val="•"/>
      <w:lvlJc w:val="left"/>
      <w:pPr>
        <w:tabs>
          <w:tab w:val="num" w:pos="720"/>
        </w:tabs>
        <w:ind w:left="720" w:hanging="360"/>
      </w:pPr>
      <w:rPr>
        <w:rFonts w:ascii="Times New Roman" w:hAnsi="Times New Roman" w:hint="default"/>
      </w:rPr>
    </w:lvl>
    <w:lvl w:ilvl="1" w:tplc="0D2240BC">
      <w:start w:val="2232"/>
      <w:numFmt w:val="bullet"/>
      <w:lvlText w:val="–"/>
      <w:lvlJc w:val="left"/>
      <w:pPr>
        <w:tabs>
          <w:tab w:val="num" w:pos="1440"/>
        </w:tabs>
        <w:ind w:left="1440" w:hanging="360"/>
      </w:pPr>
      <w:rPr>
        <w:rFonts w:ascii="Times New Roman" w:hAnsi="Times New Roman" w:hint="default"/>
      </w:rPr>
    </w:lvl>
    <w:lvl w:ilvl="2" w:tplc="F5EC239E">
      <w:start w:val="2232"/>
      <w:numFmt w:val="bullet"/>
      <w:lvlText w:val="•"/>
      <w:lvlJc w:val="left"/>
      <w:pPr>
        <w:tabs>
          <w:tab w:val="num" w:pos="2160"/>
        </w:tabs>
        <w:ind w:left="2160" w:hanging="360"/>
      </w:pPr>
      <w:rPr>
        <w:rFonts w:ascii="Times New Roman" w:hAnsi="Times New Roman" w:hint="default"/>
      </w:rPr>
    </w:lvl>
    <w:lvl w:ilvl="3" w:tplc="E9E47236" w:tentative="1">
      <w:start w:val="1"/>
      <w:numFmt w:val="bullet"/>
      <w:lvlText w:val="•"/>
      <w:lvlJc w:val="left"/>
      <w:pPr>
        <w:tabs>
          <w:tab w:val="num" w:pos="2880"/>
        </w:tabs>
        <w:ind w:left="2880" w:hanging="360"/>
      </w:pPr>
      <w:rPr>
        <w:rFonts w:ascii="Times New Roman" w:hAnsi="Times New Roman" w:hint="default"/>
      </w:rPr>
    </w:lvl>
    <w:lvl w:ilvl="4" w:tplc="E6B44E34" w:tentative="1">
      <w:start w:val="1"/>
      <w:numFmt w:val="bullet"/>
      <w:lvlText w:val="•"/>
      <w:lvlJc w:val="left"/>
      <w:pPr>
        <w:tabs>
          <w:tab w:val="num" w:pos="3600"/>
        </w:tabs>
        <w:ind w:left="3600" w:hanging="360"/>
      </w:pPr>
      <w:rPr>
        <w:rFonts w:ascii="Times New Roman" w:hAnsi="Times New Roman" w:hint="default"/>
      </w:rPr>
    </w:lvl>
    <w:lvl w:ilvl="5" w:tplc="8E5A8C72" w:tentative="1">
      <w:start w:val="1"/>
      <w:numFmt w:val="bullet"/>
      <w:lvlText w:val="•"/>
      <w:lvlJc w:val="left"/>
      <w:pPr>
        <w:tabs>
          <w:tab w:val="num" w:pos="4320"/>
        </w:tabs>
        <w:ind w:left="4320" w:hanging="360"/>
      </w:pPr>
      <w:rPr>
        <w:rFonts w:ascii="Times New Roman" w:hAnsi="Times New Roman" w:hint="default"/>
      </w:rPr>
    </w:lvl>
    <w:lvl w:ilvl="6" w:tplc="5C50D18A" w:tentative="1">
      <w:start w:val="1"/>
      <w:numFmt w:val="bullet"/>
      <w:lvlText w:val="•"/>
      <w:lvlJc w:val="left"/>
      <w:pPr>
        <w:tabs>
          <w:tab w:val="num" w:pos="5040"/>
        </w:tabs>
        <w:ind w:left="5040" w:hanging="360"/>
      </w:pPr>
      <w:rPr>
        <w:rFonts w:ascii="Times New Roman" w:hAnsi="Times New Roman" w:hint="default"/>
      </w:rPr>
    </w:lvl>
    <w:lvl w:ilvl="7" w:tplc="1A5EC7D4" w:tentative="1">
      <w:start w:val="1"/>
      <w:numFmt w:val="bullet"/>
      <w:lvlText w:val="•"/>
      <w:lvlJc w:val="left"/>
      <w:pPr>
        <w:tabs>
          <w:tab w:val="num" w:pos="5760"/>
        </w:tabs>
        <w:ind w:left="5760" w:hanging="360"/>
      </w:pPr>
      <w:rPr>
        <w:rFonts w:ascii="Times New Roman" w:hAnsi="Times New Roman" w:hint="default"/>
      </w:rPr>
    </w:lvl>
    <w:lvl w:ilvl="8" w:tplc="87B82F60"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4627034B"/>
    <w:multiLevelType w:val="hybridMultilevel"/>
    <w:tmpl w:val="2AC4FCB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4A270DD7"/>
    <w:multiLevelType w:val="hybridMultilevel"/>
    <w:tmpl w:val="4BE2851C"/>
    <w:lvl w:ilvl="0" w:tplc="53208902">
      <w:start w:val="1"/>
      <w:numFmt w:val="decimal"/>
      <w:lvlText w:val="%1."/>
      <w:lvlJc w:val="left"/>
      <w:pPr>
        <w:ind w:left="720" w:hanging="360"/>
      </w:pPr>
      <w:rPr>
        <w:rFonts w:ascii="Times New Roman" w:hAnsi="Times New Roman" w:hint="default"/>
        <w:sz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AE16810"/>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B5011F3"/>
    <w:multiLevelType w:val="hybridMultilevel"/>
    <w:tmpl w:val="5EDCA33C"/>
    <w:lvl w:ilvl="0" w:tplc="CE02BA02">
      <w:start w:val="1"/>
      <w:numFmt w:val="bullet"/>
      <w:lvlText w:val=""/>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4FB927F9"/>
    <w:multiLevelType w:val="hybridMultilevel"/>
    <w:tmpl w:val="43581174"/>
    <w:lvl w:ilvl="0" w:tplc="4DE6DE3C">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51520714"/>
    <w:multiLevelType w:val="hybridMultilevel"/>
    <w:tmpl w:val="8B34B550"/>
    <w:lvl w:ilvl="0" w:tplc="04260001">
      <w:start w:val="1"/>
      <w:numFmt w:val="bullet"/>
      <w:lvlText w:val=""/>
      <w:lvlJc w:val="left"/>
      <w:pPr>
        <w:ind w:left="1077" w:hanging="360"/>
      </w:pPr>
      <w:rPr>
        <w:rFonts w:ascii="Symbol" w:hAnsi="Symbol" w:hint="default"/>
      </w:rPr>
    </w:lvl>
    <w:lvl w:ilvl="1" w:tplc="04260003" w:tentative="1">
      <w:start w:val="1"/>
      <w:numFmt w:val="bullet"/>
      <w:lvlText w:val="o"/>
      <w:lvlJc w:val="left"/>
      <w:pPr>
        <w:ind w:left="1797" w:hanging="360"/>
      </w:pPr>
      <w:rPr>
        <w:rFonts w:ascii="Courier New" w:hAnsi="Courier New" w:cs="Courier New" w:hint="default"/>
      </w:rPr>
    </w:lvl>
    <w:lvl w:ilvl="2" w:tplc="04260005" w:tentative="1">
      <w:start w:val="1"/>
      <w:numFmt w:val="bullet"/>
      <w:lvlText w:val=""/>
      <w:lvlJc w:val="left"/>
      <w:pPr>
        <w:ind w:left="2517" w:hanging="360"/>
      </w:pPr>
      <w:rPr>
        <w:rFonts w:ascii="Wingdings" w:hAnsi="Wingdings" w:hint="default"/>
      </w:rPr>
    </w:lvl>
    <w:lvl w:ilvl="3" w:tplc="04260001" w:tentative="1">
      <w:start w:val="1"/>
      <w:numFmt w:val="bullet"/>
      <w:lvlText w:val=""/>
      <w:lvlJc w:val="left"/>
      <w:pPr>
        <w:ind w:left="3237" w:hanging="360"/>
      </w:pPr>
      <w:rPr>
        <w:rFonts w:ascii="Symbol" w:hAnsi="Symbol" w:hint="default"/>
      </w:rPr>
    </w:lvl>
    <w:lvl w:ilvl="4" w:tplc="04260003" w:tentative="1">
      <w:start w:val="1"/>
      <w:numFmt w:val="bullet"/>
      <w:lvlText w:val="o"/>
      <w:lvlJc w:val="left"/>
      <w:pPr>
        <w:ind w:left="3957" w:hanging="360"/>
      </w:pPr>
      <w:rPr>
        <w:rFonts w:ascii="Courier New" w:hAnsi="Courier New" w:cs="Courier New" w:hint="default"/>
      </w:rPr>
    </w:lvl>
    <w:lvl w:ilvl="5" w:tplc="04260005" w:tentative="1">
      <w:start w:val="1"/>
      <w:numFmt w:val="bullet"/>
      <w:lvlText w:val=""/>
      <w:lvlJc w:val="left"/>
      <w:pPr>
        <w:ind w:left="4677" w:hanging="360"/>
      </w:pPr>
      <w:rPr>
        <w:rFonts w:ascii="Wingdings" w:hAnsi="Wingdings" w:hint="default"/>
      </w:rPr>
    </w:lvl>
    <w:lvl w:ilvl="6" w:tplc="04260001" w:tentative="1">
      <w:start w:val="1"/>
      <w:numFmt w:val="bullet"/>
      <w:lvlText w:val=""/>
      <w:lvlJc w:val="left"/>
      <w:pPr>
        <w:ind w:left="5397" w:hanging="360"/>
      </w:pPr>
      <w:rPr>
        <w:rFonts w:ascii="Symbol" w:hAnsi="Symbol" w:hint="default"/>
      </w:rPr>
    </w:lvl>
    <w:lvl w:ilvl="7" w:tplc="04260003" w:tentative="1">
      <w:start w:val="1"/>
      <w:numFmt w:val="bullet"/>
      <w:lvlText w:val="o"/>
      <w:lvlJc w:val="left"/>
      <w:pPr>
        <w:ind w:left="6117" w:hanging="360"/>
      </w:pPr>
      <w:rPr>
        <w:rFonts w:ascii="Courier New" w:hAnsi="Courier New" w:cs="Courier New" w:hint="default"/>
      </w:rPr>
    </w:lvl>
    <w:lvl w:ilvl="8" w:tplc="04260005" w:tentative="1">
      <w:start w:val="1"/>
      <w:numFmt w:val="bullet"/>
      <w:lvlText w:val=""/>
      <w:lvlJc w:val="left"/>
      <w:pPr>
        <w:ind w:left="6837" w:hanging="360"/>
      </w:pPr>
      <w:rPr>
        <w:rFonts w:ascii="Wingdings" w:hAnsi="Wingdings" w:hint="default"/>
      </w:rPr>
    </w:lvl>
  </w:abstractNum>
  <w:abstractNum w:abstractNumId="32" w15:restartNumberingAfterBreak="0">
    <w:nsid w:val="51877034"/>
    <w:multiLevelType w:val="hybridMultilevel"/>
    <w:tmpl w:val="B2CA9B2C"/>
    <w:lvl w:ilvl="0" w:tplc="5E8A69E4">
      <w:start w:val="1"/>
      <w:numFmt w:val="bullet"/>
      <w:lvlText w:val="•"/>
      <w:lvlJc w:val="left"/>
      <w:pPr>
        <w:tabs>
          <w:tab w:val="num" w:pos="720"/>
        </w:tabs>
        <w:ind w:left="720" w:hanging="360"/>
      </w:pPr>
      <w:rPr>
        <w:rFonts w:ascii="Times New Roman" w:hAnsi="Times New Roman" w:hint="default"/>
      </w:rPr>
    </w:lvl>
    <w:lvl w:ilvl="1" w:tplc="E1C4D580">
      <w:start w:val="2512"/>
      <w:numFmt w:val="bullet"/>
      <w:lvlText w:val="–"/>
      <w:lvlJc w:val="left"/>
      <w:pPr>
        <w:tabs>
          <w:tab w:val="num" w:pos="1440"/>
        </w:tabs>
        <w:ind w:left="1440" w:hanging="360"/>
      </w:pPr>
      <w:rPr>
        <w:rFonts w:ascii="Times New Roman" w:hAnsi="Times New Roman" w:hint="default"/>
      </w:rPr>
    </w:lvl>
    <w:lvl w:ilvl="2" w:tplc="35BA794E" w:tentative="1">
      <w:start w:val="1"/>
      <w:numFmt w:val="bullet"/>
      <w:lvlText w:val="•"/>
      <w:lvlJc w:val="left"/>
      <w:pPr>
        <w:tabs>
          <w:tab w:val="num" w:pos="2160"/>
        </w:tabs>
        <w:ind w:left="2160" w:hanging="360"/>
      </w:pPr>
      <w:rPr>
        <w:rFonts w:ascii="Times New Roman" w:hAnsi="Times New Roman" w:hint="default"/>
      </w:rPr>
    </w:lvl>
    <w:lvl w:ilvl="3" w:tplc="1C903E30" w:tentative="1">
      <w:start w:val="1"/>
      <w:numFmt w:val="bullet"/>
      <w:lvlText w:val="•"/>
      <w:lvlJc w:val="left"/>
      <w:pPr>
        <w:tabs>
          <w:tab w:val="num" w:pos="2880"/>
        </w:tabs>
        <w:ind w:left="2880" w:hanging="360"/>
      </w:pPr>
      <w:rPr>
        <w:rFonts w:ascii="Times New Roman" w:hAnsi="Times New Roman" w:hint="default"/>
      </w:rPr>
    </w:lvl>
    <w:lvl w:ilvl="4" w:tplc="087E0C58" w:tentative="1">
      <w:start w:val="1"/>
      <w:numFmt w:val="bullet"/>
      <w:lvlText w:val="•"/>
      <w:lvlJc w:val="left"/>
      <w:pPr>
        <w:tabs>
          <w:tab w:val="num" w:pos="3600"/>
        </w:tabs>
        <w:ind w:left="3600" w:hanging="360"/>
      </w:pPr>
      <w:rPr>
        <w:rFonts w:ascii="Times New Roman" w:hAnsi="Times New Roman" w:hint="default"/>
      </w:rPr>
    </w:lvl>
    <w:lvl w:ilvl="5" w:tplc="F3D01664" w:tentative="1">
      <w:start w:val="1"/>
      <w:numFmt w:val="bullet"/>
      <w:lvlText w:val="•"/>
      <w:lvlJc w:val="left"/>
      <w:pPr>
        <w:tabs>
          <w:tab w:val="num" w:pos="4320"/>
        </w:tabs>
        <w:ind w:left="4320" w:hanging="360"/>
      </w:pPr>
      <w:rPr>
        <w:rFonts w:ascii="Times New Roman" w:hAnsi="Times New Roman" w:hint="default"/>
      </w:rPr>
    </w:lvl>
    <w:lvl w:ilvl="6" w:tplc="556EBD5A" w:tentative="1">
      <w:start w:val="1"/>
      <w:numFmt w:val="bullet"/>
      <w:lvlText w:val="•"/>
      <w:lvlJc w:val="left"/>
      <w:pPr>
        <w:tabs>
          <w:tab w:val="num" w:pos="5040"/>
        </w:tabs>
        <w:ind w:left="5040" w:hanging="360"/>
      </w:pPr>
      <w:rPr>
        <w:rFonts w:ascii="Times New Roman" w:hAnsi="Times New Roman" w:hint="default"/>
      </w:rPr>
    </w:lvl>
    <w:lvl w:ilvl="7" w:tplc="9CD2CA94" w:tentative="1">
      <w:start w:val="1"/>
      <w:numFmt w:val="bullet"/>
      <w:lvlText w:val="•"/>
      <w:lvlJc w:val="left"/>
      <w:pPr>
        <w:tabs>
          <w:tab w:val="num" w:pos="5760"/>
        </w:tabs>
        <w:ind w:left="5760" w:hanging="360"/>
      </w:pPr>
      <w:rPr>
        <w:rFonts w:ascii="Times New Roman" w:hAnsi="Times New Roman" w:hint="default"/>
      </w:rPr>
    </w:lvl>
    <w:lvl w:ilvl="8" w:tplc="09625E96"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52401DF0"/>
    <w:multiLevelType w:val="hybridMultilevel"/>
    <w:tmpl w:val="5F2CAAC6"/>
    <w:lvl w:ilvl="0" w:tplc="01DA5A1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15:restartNumberingAfterBreak="0">
    <w:nsid w:val="527F0844"/>
    <w:multiLevelType w:val="hybridMultilevel"/>
    <w:tmpl w:val="6004F702"/>
    <w:lvl w:ilvl="0" w:tplc="F202C328">
      <w:start w:val="1"/>
      <w:numFmt w:val="bullet"/>
      <w:lvlText w:val=""/>
      <w:lvlJc w:val="left"/>
      <w:pPr>
        <w:ind w:left="720" w:hanging="360"/>
      </w:pPr>
      <w:rPr>
        <w:rFonts w:ascii="Symbol" w:eastAsia="Calibri" w:hAnsi="Symbol" w:cs="Calibri" w:hint="default"/>
        <w:color w:val="auto"/>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35" w15:restartNumberingAfterBreak="0">
    <w:nsid w:val="55D1764B"/>
    <w:multiLevelType w:val="hybridMultilevel"/>
    <w:tmpl w:val="A81257B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55FB3351"/>
    <w:multiLevelType w:val="hybridMultilevel"/>
    <w:tmpl w:val="9828A0CC"/>
    <w:lvl w:ilvl="0" w:tplc="434AF996">
      <w:start w:val="2014"/>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7" w15:restartNumberingAfterBreak="0">
    <w:nsid w:val="57B73E3E"/>
    <w:multiLevelType w:val="hybridMultilevel"/>
    <w:tmpl w:val="3B30EBC2"/>
    <w:lvl w:ilvl="0" w:tplc="ECF6468C">
      <w:start w:val="1"/>
      <w:numFmt w:val="bullet"/>
      <w:lvlText w:val=""/>
      <w:lvlJc w:val="left"/>
      <w:pPr>
        <w:tabs>
          <w:tab w:val="num" w:pos="360"/>
        </w:tabs>
        <w:ind w:left="340" w:hanging="340"/>
      </w:pPr>
      <w:rPr>
        <w:rFonts w:ascii="Symbol" w:hAnsi="Symbol" w:hint="default"/>
        <w:sz w:val="20"/>
      </w:rPr>
    </w:lvl>
    <w:lvl w:ilvl="1" w:tplc="F8F69C14" w:tentative="1">
      <w:start w:val="1"/>
      <w:numFmt w:val="bullet"/>
      <w:lvlText w:val="o"/>
      <w:lvlJc w:val="left"/>
      <w:pPr>
        <w:tabs>
          <w:tab w:val="num" w:pos="1440"/>
        </w:tabs>
        <w:ind w:left="1440" w:hanging="360"/>
      </w:pPr>
      <w:rPr>
        <w:rFonts w:ascii="Courier New" w:hAnsi="Courier New" w:hint="default"/>
      </w:rPr>
    </w:lvl>
    <w:lvl w:ilvl="2" w:tplc="10700330" w:tentative="1">
      <w:start w:val="1"/>
      <w:numFmt w:val="bullet"/>
      <w:lvlText w:val=""/>
      <w:lvlJc w:val="left"/>
      <w:pPr>
        <w:tabs>
          <w:tab w:val="num" w:pos="2160"/>
        </w:tabs>
        <w:ind w:left="2160" w:hanging="360"/>
      </w:pPr>
      <w:rPr>
        <w:rFonts w:ascii="Wingdings" w:hAnsi="Wingdings" w:hint="default"/>
      </w:rPr>
    </w:lvl>
    <w:lvl w:ilvl="3" w:tplc="BCDA8090" w:tentative="1">
      <w:start w:val="1"/>
      <w:numFmt w:val="bullet"/>
      <w:lvlText w:val=""/>
      <w:lvlJc w:val="left"/>
      <w:pPr>
        <w:tabs>
          <w:tab w:val="num" w:pos="2880"/>
        </w:tabs>
        <w:ind w:left="2880" w:hanging="360"/>
      </w:pPr>
      <w:rPr>
        <w:rFonts w:ascii="Symbol" w:hAnsi="Symbol" w:hint="default"/>
      </w:rPr>
    </w:lvl>
    <w:lvl w:ilvl="4" w:tplc="B9BAB3CE" w:tentative="1">
      <w:start w:val="1"/>
      <w:numFmt w:val="bullet"/>
      <w:lvlText w:val="o"/>
      <w:lvlJc w:val="left"/>
      <w:pPr>
        <w:tabs>
          <w:tab w:val="num" w:pos="3600"/>
        </w:tabs>
        <w:ind w:left="3600" w:hanging="360"/>
      </w:pPr>
      <w:rPr>
        <w:rFonts w:ascii="Courier New" w:hAnsi="Courier New" w:hint="default"/>
      </w:rPr>
    </w:lvl>
    <w:lvl w:ilvl="5" w:tplc="7382BF34" w:tentative="1">
      <w:start w:val="1"/>
      <w:numFmt w:val="bullet"/>
      <w:lvlText w:val=""/>
      <w:lvlJc w:val="left"/>
      <w:pPr>
        <w:tabs>
          <w:tab w:val="num" w:pos="4320"/>
        </w:tabs>
        <w:ind w:left="4320" w:hanging="360"/>
      </w:pPr>
      <w:rPr>
        <w:rFonts w:ascii="Wingdings" w:hAnsi="Wingdings" w:hint="default"/>
      </w:rPr>
    </w:lvl>
    <w:lvl w:ilvl="6" w:tplc="ADC878C8" w:tentative="1">
      <w:start w:val="1"/>
      <w:numFmt w:val="bullet"/>
      <w:lvlText w:val=""/>
      <w:lvlJc w:val="left"/>
      <w:pPr>
        <w:tabs>
          <w:tab w:val="num" w:pos="5040"/>
        </w:tabs>
        <w:ind w:left="5040" w:hanging="360"/>
      </w:pPr>
      <w:rPr>
        <w:rFonts w:ascii="Symbol" w:hAnsi="Symbol" w:hint="default"/>
      </w:rPr>
    </w:lvl>
    <w:lvl w:ilvl="7" w:tplc="33A81EFA" w:tentative="1">
      <w:start w:val="1"/>
      <w:numFmt w:val="bullet"/>
      <w:lvlText w:val="o"/>
      <w:lvlJc w:val="left"/>
      <w:pPr>
        <w:tabs>
          <w:tab w:val="num" w:pos="5760"/>
        </w:tabs>
        <w:ind w:left="5760" w:hanging="360"/>
      </w:pPr>
      <w:rPr>
        <w:rFonts w:ascii="Courier New" w:hAnsi="Courier New" w:hint="default"/>
      </w:rPr>
    </w:lvl>
    <w:lvl w:ilvl="8" w:tplc="D7FC954A"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1292098"/>
    <w:multiLevelType w:val="hybridMultilevel"/>
    <w:tmpl w:val="C5B8AB32"/>
    <w:lvl w:ilvl="0" w:tplc="98C09DAE">
      <w:start w:val="1"/>
      <w:numFmt w:val="decimal"/>
      <w:lvlText w:val="%1)"/>
      <w:lvlJc w:val="left"/>
      <w:pPr>
        <w:ind w:left="1068" w:hanging="360"/>
      </w:pPr>
      <w:rPr>
        <w:rFonts w:hint="default"/>
        <w:color w:val="auto"/>
      </w:rPr>
    </w:lvl>
    <w:lvl w:ilvl="1" w:tplc="04260019" w:tentative="1">
      <w:start w:val="1"/>
      <w:numFmt w:val="lowerLetter"/>
      <w:lvlText w:val="%2."/>
      <w:lvlJc w:val="left"/>
      <w:pPr>
        <w:ind w:left="1788" w:hanging="360"/>
      </w:pPr>
    </w:lvl>
    <w:lvl w:ilvl="2" w:tplc="0426001B" w:tentative="1">
      <w:start w:val="1"/>
      <w:numFmt w:val="lowerRoman"/>
      <w:lvlText w:val="%3."/>
      <w:lvlJc w:val="right"/>
      <w:pPr>
        <w:ind w:left="2508" w:hanging="180"/>
      </w:pPr>
    </w:lvl>
    <w:lvl w:ilvl="3" w:tplc="0426000F" w:tentative="1">
      <w:start w:val="1"/>
      <w:numFmt w:val="decimal"/>
      <w:lvlText w:val="%4."/>
      <w:lvlJc w:val="left"/>
      <w:pPr>
        <w:ind w:left="3228" w:hanging="360"/>
      </w:pPr>
    </w:lvl>
    <w:lvl w:ilvl="4" w:tplc="04260019" w:tentative="1">
      <w:start w:val="1"/>
      <w:numFmt w:val="lowerLetter"/>
      <w:lvlText w:val="%5."/>
      <w:lvlJc w:val="left"/>
      <w:pPr>
        <w:ind w:left="3948" w:hanging="360"/>
      </w:pPr>
    </w:lvl>
    <w:lvl w:ilvl="5" w:tplc="0426001B" w:tentative="1">
      <w:start w:val="1"/>
      <w:numFmt w:val="lowerRoman"/>
      <w:lvlText w:val="%6."/>
      <w:lvlJc w:val="right"/>
      <w:pPr>
        <w:ind w:left="4668" w:hanging="180"/>
      </w:pPr>
    </w:lvl>
    <w:lvl w:ilvl="6" w:tplc="0426000F" w:tentative="1">
      <w:start w:val="1"/>
      <w:numFmt w:val="decimal"/>
      <w:lvlText w:val="%7."/>
      <w:lvlJc w:val="left"/>
      <w:pPr>
        <w:ind w:left="5388" w:hanging="360"/>
      </w:pPr>
    </w:lvl>
    <w:lvl w:ilvl="7" w:tplc="04260019" w:tentative="1">
      <w:start w:val="1"/>
      <w:numFmt w:val="lowerLetter"/>
      <w:lvlText w:val="%8."/>
      <w:lvlJc w:val="left"/>
      <w:pPr>
        <w:ind w:left="6108" w:hanging="360"/>
      </w:pPr>
    </w:lvl>
    <w:lvl w:ilvl="8" w:tplc="0426001B" w:tentative="1">
      <w:start w:val="1"/>
      <w:numFmt w:val="lowerRoman"/>
      <w:lvlText w:val="%9."/>
      <w:lvlJc w:val="right"/>
      <w:pPr>
        <w:ind w:left="6828" w:hanging="180"/>
      </w:pPr>
    </w:lvl>
  </w:abstractNum>
  <w:abstractNum w:abstractNumId="39" w15:restartNumberingAfterBreak="0">
    <w:nsid w:val="62B339C7"/>
    <w:multiLevelType w:val="hybridMultilevel"/>
    <w:tmpl w:val="81981FB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0" w15:restartNumberingAfterBreak="0">
    <w:nsid w:val="6673123D"/>
    <w:multiLevelType w:val="hybridMultilevel"/>
    <w:tmpl w:val="DECE03B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1" w15:restartNumberingAfterBreak="0">
    <w:nsid w:val="69A534AE"/>
    <w:multiLevelType w:val="hybridMultilevel"/>
    <w:tmpl w:val="5762D01E"/>
    <w:lvl w:ilvl="0" w:tplc="04260017">
      <w:start w:val="1"/>
      <w:numFmt w:val="lowerLetter"/>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2" w15:restartNumberingAfterBreak="0">
    <w:nsid w:val="718123D4"/>
    <w:multiLevelType w:val="hybridMultilevel"/>
    <w:tmpl w:val="93443F6A"/>
    <w:lvl w:ilvl="0" w:tplc="6EAA1394">
      <w:start w:val="2754"/>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3" w15:restartNumberingAfterBreak="0">
    <w:nsid w:val="725617F2"/>
    <w:multiLevelType w:val="hybridMultilevel"/>
    <w:tmpl w:val="9F109C34"/>
    <w:lvl w:ilvl="0" w:tplc="BD04FC4C">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4" w15:restartNumberingAfterBreak="0">
    <w:nsid w:val="7349040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4A360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ABC6377"/>
    <w:multiLevelType w:val="hybridMultilevel"/>
    <w:tmpl w:val="235A76E2"/>
    <w:lvl w:ilvl="0" w:tplc="2152C156">
      <w:start w:val="1"/>
      <w:numFmt w:val="bullet"/>
      <w:lvlText w:val=""/>
      <w:lvlJc w:val="left"/>
      <w:pPr>
        <w:tabs>
          <w:tab w:val="num" w:pos="360"/>
        </w:tabs>
        <w:ind w:left="340" w:hanging="340"/>
      </w:pPr>
      <w:rPr>
        <w:rFonts w:ascii="Symbol" w:hAnsi="Symbol" w:hint="default"/>
        <w:sz w:val="20"/>
      </w:rPr>
    </w:lvl>
    <w:lvl w:ilvl="1" w:tplc="8050E368" w:tentative="1">
      <w:start w:val="1"/>
      <w:numFmt w:val="bullet"/>
      <w:lvlText w:val="o"/>
      <w:lvlJc w:val="left"/>
      <w:pPr>
        <w:tabs>
          <w:tab w:val="num" w:pos="1440"/>
        </w:tabs>
        <w:ind w:left="1440" w:hanging="360"/>
      </w:pPr>
      <w:rPr>
        <w:rFonts w:ascii="Courier New" w:hAnsi="Courier New" w:hint="default"/>
      </w:rPr>
    </w:lvl>
    <w:lvl w:ilvl="2" w:tplc="93BCFB1A" w:tentative="1">
      <w:start w:val="1"/>
      <w:numFmt w:val="bullet"/>
      <w:lvlText w:val=""/>
      <w:lvlJc w:val="left"/>
      <w:pPr>
        <w:tabs>
          <w:tab w:val="num" w:pos="2160"/>
        </w:tabs>
        <w:ind w:left="2160" w:hanging="360"/>
      </w:pPr>
      <w:rPr>
        <w:rFonts w:ascii="Wingdings" w:hAnsi="Wingdings" w:hint="default"/>
      </w:rPr>
    </w:lvl>
    <w:lvl w:ilvl="3" w:tplc="A44212C4" w:tentative="1">
      <w:start w:val="1"/>
      <w:numFmt w:val="bullet"/>
      <w:lvlText w:val=""/>
      <w:lvlJc w:val="left"/>
      <w:pPr>
        <w:tabs>
          <w:tab w:val="num" w:pos="2880"/>
        </w:tabs>
        <w:ind w:left="2880" w:hanging="360"/>
      </w:pPr>
      <w:rPr>
        <w:rFonts w:ascii="Symbol" w:hAnsi="Symbol" w:hint="default"/>
      </w:rPr>
    </w:lvl>
    <w:lvl w:ilvl="4" w:tplc="61FC5BDE" w:tentative="1">
      <w:start w:val="1"/>
      <w:numFmt w:val="bullet"/>
      <w:lvlText w:val="o"/>
      <w:lvlJc w:val="left"/>
      <w:pPr>
        <w:tabs>
          <w:tab w:val="num" w:pos="3600"/>
        </w:tabs>
        <w:ind w:left="3600" w:hanging="360"/>
      </w:pPr>
      <w:rPr>
        <w:rFonts w:ascii="Courier New" w:hAnsi="Courier New" w:hint="default"/>
      </w:rPr>
    </w:lvl>
    <w:lvl w:ilvl="5" w:tplc="D8CED542" w:tentative="1">
      <w:start w:val="1"/>
      <w:numFmt w:val="bullet"/>
      <w:lvlText w:val=""/>
      <w:lvlJc w:val="left"/>
      <w:pPr>
        <w:tabs>
          <w:tab w:val="num" w:pos="4320"/>
        </w:tabs>
        <w:ind w:left="4320" w:hanging="360"/>
      </w:pPr>
      <w:rPr>
        <w:rFonts w:ascii="Wingdings" w:hAnsi="Wingdings" w:hint="default"/>
      </w:rPr>
    </w:lvl>
    <w:lvl w:ilvl="6" w:tplc="C8E44824" w:tentative="1">
      <w:start w:val="1"/>
      <w:numFmt w:val="bullet"/>
      <w:lvlText w:val=""/>
      <w:lvlJc w:val="left"/>
      <w:pPr>
        <w:tabs>
          <w:tab w:val="num" w:pos="5040"/>
        </w:tabs>
        <w:ind w:left="5040" w:hanging="360"/>
      </w:pPr>
      <w:rPr>
        <w:rFonts w:ascii="Symbol" w:hAnsi="Symbol" w:hint="default"/>
      </w:rPr>
    </w:lvl>
    <w:lvl w:ilvl="7" w:tplc="252ED8EA" w:tentative="1">
      <w:start w:val="1"/>
      <w:numFmt w:val="bullet"/>
      <w:lvlText w:val="o"/>
      <w:lvlJc w:val="left"/>
      <w:pPr>
        <w:tabs>
          <w:tab w:val="num" w:pos="5760"/>
        </w:tabs>
        <w:ind w:left="5760" w:hanging="360"/>
      </w:pPr>
      <w:rPr>
        <w:rFonts w:ascii="Courier New" w:hAnsi="Courier New" w:hint="default"/>
      </w:rPr>
    </w:lvl>
    <w:lvl w:ilvl="8" w:tplc="44D405F6"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C4669DC"/>
    <w:multiLevelType w:val="hybridMultilevel"/>
    <w:tmpl w:val="C3ECD030"/>
    <w:lvl w:ilvl="0" w:tplc="BD586394">
      <w:start w:val="1"/>
      <w:numFmt w:val="bullet"/>
      <w:lvlText w:val=""/>
      <w:lvlJc w:val="left"/>
      <w:pPr>
        <w:tabs>
          <w:tab w:val="num" w:pos="1440"/>
        </w:tabs>
        <w:ind w:left="1440" w:hanging="360"/>
      </w:pPr>
      <w:rPr>
        <w:rFonts w:ascii="Symbol" w:hAnsi="Symbol" w:hint="default"/>
        <w:effect w:val="no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F35634D"/>
    <w:multiLevelType w:val="hybridMultilevel"/>
    <w:tmpl w:val="95F6A00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2011910480">
    <w:abstractNumId w:val="37"/>
  </w:num>
  <w:num w:numId="2" w16cid:durableId="1174412916">
    <w:abstractNumId w:val="46"/>
  </w:num>
  <w:num w:numId="3" w16cid:durableId="267548782">
    <w:abstractNumId w:val="28"/>
  </w:num>
  <w:num w:numId="4" w16cid:durableId="1455905434">
    <w:abstractNumId w:val="44"/>
  </w:num>
  <w:num w:numId="5" w16cid:durableId="1288899329">
    <w:abstractNumId w:val="18"/>
  </w:num>
  <w:num w:numId="6" w16cid:durableId="1857885930">
    <w:abstractNumId w:val="45"/>
  </w:num>
  <w:num w:numId="7" w16cid:durableId="297146162">
    <w:abstractNumId w:val="14"/>
  </w:num>
  <w:num w:numId="8" w16cid:durableId="1535918870">
    <w:abstractNumId w:val="47"/>
  </w:num>
  <w:num w:numId="9" w16cid:durableId="133367844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10533628">
    <w:abstractNumId w:val="4"/>
  </w:num>
  <w:num w:numId="11" w16cid:durableId="1168712264">
    <w:abstractNumId w:val="25"/>
  </w:num>
  <w:num w:numId="12" w16cid:durableId="809517548">
    <w:abstractNumId w:val="2"/>
  </w:num>
  <w:num w:numId="13" w16cid:durableId="2082559128">
    <w:abstractNumId w:val="32"/>
  </w:num>
  <w:num w:numId="14" w16cid:durableId="568347800">
    <w:abstractNumId w:val="7"/>
  </w:num>
  <w:num w:numId="15" w16cid:durableId="2032562648">
    <w:abstractNumId w:val="27"/>
  </w:num>
  <w:num w:numId="16" w16cid:durableId="1998880045">
    <w:abstractNumId w:val="20"/>
  </w:num>
  <w:num w:numId="17" w16cid:durableId="1321034570">
    <w:abstractNumId w:val="16"/>
  </w:num>
  <w:num w:numId="18" w16cid:durableId="111244030">
    <w:abstractNumId w:val="10"/>
  </w:num>
  <w:num w:numId="19" w16cid:durableId="2052069275">
    <w:abstractNumId w:val="11"/>
  </w:num>
  <w:num w:numId="20" w16cid:durableId="1760178068">
    <w:abstractNumId w:val="33"/>
  </w:num>
  <w:num w:numId="21" w16cid:durableId="1347751217">
    <w:abstractNumId w:val="42"/>
  </w:num>
  <w:num w:numId="22" w16cid:durableId="1182402499">
    <w:abstractNumId w:val="34"/>
  </w:num>
  <w:num w:numId="23" w16cid:durableId="1493719557">
    <w:abstractNumId w:val="24"/>
  </w:num>
  <w:num w:numId="24" w16cid:durableId="2021934134">
    <w:abstractNumId w:val="8"/>
  </w:num>
  <w:num w:numId="25" w16cid:durableId="1522351565">
    <w:abstractNumId w:val="1"/>
  </w:num>
  <w:num w:numId="26" w16cid:durableId="227346826">
    <w:abstractNumId w:val="22"/>
  </w:num>
  <w:num w:numId="27" w16cid:durableId="1324970383">
    <w:abstractNumId w:val="23"/>
  </w:num>
  <w:num w:numId="28" w16cid:durableId="625089681">
    <w:abstractNumId w:val="39"/>
  </w:num>
  <w:num w:numId="29" w16cid:durableId="27120475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53246135">
    <w:abstractNumId w:val="41"/>
  </w:num>
  <w:num w:numId="31" w16cid:durableId="1975062801">
    <w:abstractNumId w:val="48"/>
  </w:num>
  <w:num w:numId="32" w16cid:durableId="2121412534">
    <w:abstractNumId w:val="13"/>
  </w:num>
  <w:num w:numId="33" w16cid:durableId="462385166">
    <w:abstractNumId w:val="6"/>
  </w:num>
  <w:num w:numId="34" w16cid:durableId="1499996742">
    <w:abstractNumId w:val="0"/>
  </w:num>
  <w:num w:numId="35" w16cid:durableId="1016156142">
    <w:abstractNumId w:val="26"/>
  </w:num>
  <w:num w:numId="36" w16cid:durableId="2053773809">
    <w:abstractNumId w:val="29"/>
  </w:num>
  <w:num w:numId="37" w16cid:durableId="433672024">
    <w:abstractNumId w:val="31"/>
  </w:num>
  <w:num w:numId="38" w16cid:durableId="787745078">
    <w:abstractNumId w:val="9"/>
  </w:num>
  <w:num w:numId="39" w16cid:durableId="1558708259">
    <w:abstractNumId w:val="19"/>
  </w:num>
  <w:num w:numId="40" w16cid:durableId="1641499863">
    <w:abstractNumId w:val="3"/>
  </w:num>
  <w:num w:numId="41" w16cid:durableId="2136098171">
    <w:abstractNumId w:val="35"/>
  </w:num>
  <w:num w:numId="42" w16cid:durableId="1066952395">
    <w:abstractNumId w:val="5"/>
  </w:num>
  <w:num w:numId="43" w16cid:durableId="1882397805">
    <w:abstractNumId w:val="36"/>
  </w:num>
  <w:num w:numId="44" w16cid:durableId="485048197">
    <w:abstractNumId w:val="43"/>
  </w:num>
  <w:num w:numId="45" w16cid:durableId="688339777">
    <w:abstractNumId w:val="30"/>
  </w:num>
  <w:num w:numId="46" w16cid:durableId="64763157">
    <w:abstractNumId w:val="38"/>
  </w:num>
  <w:num w:numId="47" w16cid:durableId="496507399">
    <w:abstractNumId w:val="40"/>
  </w:num>
  <w:num w:numId="48" w16cid:durableId="138039650">
    <w:abstractNumId w:val="21"/>
  </w:num>
  <w:num w:numId="49" w16cid:durableId="710224695">
    <w:abstractNumId w:val="15"/>
  </w:num>
  <w:num w:numId="50" w16cid:durableId="155885260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hideSpellingErrors/>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noPunctuationKerning/>
  <w:characterSpacingControl w:val="doNotCompress"/>
  <w:hdrShapeDefaults>
    <o:shapedefaults v:ext="edit" spidmax="240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2E78"/>
    <w:rsid w:val="000024A9"/>
    <w:rsid w:val="00003CA2"/>
    <w:rsid w:val="00003FFF"/>
    <w:rsid w:val="000049C1"/>
    <w:rsid w:val="0000713F"/>
    <w:rsid w:val="0000724E"/>
    <w:rsid w:val="00012757"/>
    <w:rsid w:val="00012BF0"/>
    <w:rsid w:val="00013651"/>
    <w:rsid w:val="00014156"/>
    <w:rsid w:val="0001461A"/>
    <w:rsid w:val="00020BF9"/>
    <w:rsid w:val="000248BE"/>
    <w:rsid w:val="0002565E"/>
    <w:rsid w:val="00026B2C"/>
    <w:rsid w:val="00030C5E"/>
    <w:rsid w:val="00031B24"/>
    <w:rsid w:val="00034119"/>
    <w:rsid w:val="000348A0"/>
    <w:rsid w:val="00035BB5"/>
    <w:rsid w:val="00037D88"/>
    <w:rsid w:val="0004020C"/>
    <w:rsid w:val="00042D8A"/>
    <w:rsid w:val="00043014"/>
    <w:rsid w:val="00045799"/>
    <w:rsid w:val="00047246"/>
    <w:rsid w:val="00052928"/>
    <w:rsid w:val="00052F7E"/>
    <w:rsid w:val="0005339C"/>
    <w:rsid w:val="0005444E"/>
    <w:rsid w:val="000545C4"/>
    <w:rsid w:val="00054757"/>
    <w:rsid w:val="00054C66"/>
    <w:rsid w:val="00055C65"/>
    <w:rsid w:val="00055E6B"/>
    <w:rsid w:val="000616DA"/>
    <w:rsid w:val="00063F5D"/>
    <w:rsid w:val="0006557D"/>
    <w:rsid w:val="00066F5B"/>
    <w:rsid w:val="000675A8"/>
    <w:rsid w:val="00070007"/>
    <w:rsid w:val="00070C59"/>
    <w:rsid w:val="00070F9C"/>
    <w:rsid w:val="00073D92"/>
    <w:rsid w:val="000759B3"/>
    <w:rsid w:val="00083339"/>
    <w:rsid w:val="00083C39"/>
    <w:rsid w:val="000849F0"/>
    <w:rsid w:val="00086940"/>
    <w:rsid w:val="00086A88"/>
    <w:rsid w:val="000870B8"/>
    <w:rsid w:val="000874C0"/>
    <w:rsid w:val="00092746"/>
    <w:rsid w:val="00094180"/>
    <w:rsid w:val="00097792"/>
    <w:rsid w:val="000A0641"/>
    <w:rsid w:val="000A1EBC"/>
    <w:rsid w:val="000A2F78"/>
    <w:rsid w:val="000A4A70"/>
    <w:rsid w:val="000A6340"/>
    <w:rsid w:val="000A64AD"/>
    <w:rsid w:val="000B1CF1"/>
    <w:rsid w:val="000B2342"/>
    <w:rsid w:val="000B4197"/>
    <w:rsid w:val="000B5E4C"/>
    <w:rsid w:val="000B6E12"/>
    <w:rsid w:val="000B753A"/>
    <w:rsid w:val="000C0CD7"/>
    <w:rsid w:val="000C117A"/>
    <w:rsid w:val="000C2511"/>
    <w:rsid w:val="000C29A6"/>
    <w:rsid w:val="000C2BC7"/>
    <w:rsid w:val="000C2DFC"/>
    <w:rsid w:val="000C313B"/>
    <w:rsid w:val="000C4649"/>
    <w:rsid w:val="000C5A52"/>
    <w:rsid w:val="000C5D12"/>
    <w:rsid w:val="000C6BE9"/>
    <w:rsid w:val="000D0353"/>
    <w:rsid w:val="000D039D"/>
    <w:rsid w:val="000D2CA8"/>
    <w:rsid w:val="000D3151"/>
    <w:rsid w:val="000D5F1A"/>
    <w:rsid w:val="000D6EF2"/>
    <w:rsid w:val="000D7495"/>
    <w:rsid w:val="000E03A3"/>
    <w:rsid w:val="000E0B35"/>
    <w:rsid w:val="000E5E29"/>
    <w:rsid w:val="000F1539"/>
    <w:rsid w:val="000F1C60"/>
    <w:rsid w:val="000F3544"/>
    <w:rsid w:val="000F3FBC"/>
    <w:rsid w:val="000F501D"/>
    <w:rsid w:val="000F60B7"/>
    <w:rsid w:val="000F69A8"/>
    <w:rsid w:val="000F6DA1"/>
    <w:rsid w:val="00102C08"/>
    <w:rsid w:val="00102D80"/>
    <w:rsid w:val="00103881"/>
    <w:rsid w:val="00104342"/>
    <w:rsid w:val="0010494C"/>
    <w:rsid w:val="00105FFD"/>
    <w:rsid w:val="001065D1"/>
    <w:rsid w:val="00107861"/>
    <w:rsid w:val="00115D4D"/>
    <w:rsid w:val="00117225"/>
    <w:rsid w:val="00122D4A"/>
    <w:rsid w:val="001240F1"/>
    <w:rsid w:val="00124A74"/>
    <w:rsid w:val="00124BD6"/>
    <w:rsid w:val="00124C74"/>
    <w:rsid w:val="00125A65"/>
    <w:rsid w:val="00125F8F"/>
    <w:rsid w:val="001274DC"/>
    <w:rsid w:val="001276DB"/>
    <w:rsid w:val="001277D2"/>
    <w:rsid w:val="00130E19"/>
    <w:rsid w:val="001314F3"/>
    <w:rsid w:val="00131A98"/>
    <w:rsid w:val="00132CB4"/>
    <w:rsid w:val="00132D8E"/>
    <w:rsid w:val="00133F6D"/>
    <w:rsid w:val="00136CBC"/>
    <w:rsid w:val="0013777D"/>
    <w:rsid w:val="00141FC8"/>
    <w:rsid w:val="00142D83"/>
    <w:rsid w:val="001436B1"/>
    <w:rsid w:val="0014503B"/>
    <w:rsid w:val="00145A9C"/>
    <w:rsid w:val="00145CE3"/>
    <w:rsid w:val="00146DB3"/>
    <w:rsid w:val="00150327"/>
    <w:rsid w:val="00152C13"/>
    <w:rsid w:val="001531FC"/>
    <w:rsid w:val="00153274"/>
    <w:rsid w:val="00155287"/>
    <w:rsid w:val="00155351"/>
    <w:rsid w:val="0015631A"/>
    <w:rsid w:val="00161A04"/>
    <w:rsid w:val="0016646F"/>
    <w:rsid w:val="00174CFA"/>
    <w:rsid w:val="00175663"/>
    <w:rsid w:val="00181486"/>
    <w:rsid w:val="001832E9"/>
    <w:rsid w:val="001834F7"/>
    <w:rsid w:val="00183BB9"/>
    <w:rsid w:val="001850AD"/>
    <w:rsid w:val="0018617D"/>
    <w:rsid w:val="00187CA8"/>
    <w:rsid w:val="00187E0B"/>
    <w:rsid w:val="00192F19"/>
    <w:rsid w:val="0019554A"/>
    <w:rsid w:val="001A002C"/>
    <w:rsid w:val="001A0C56"/>
    <w:rsid w:val="001A0E4D"/>
    <w:rsid w:val="001A2771"/>
    <w:rsid w:val="001A3103"/>
    <w:rsid w:val="001A4F87"/>
    <w:rsid w:val="001A5D37"/>
    <w:rsid w:val="001A6A77"/>
    <w:rsid w:val="001B0D28"/>
    <w:rsid w:val="001B2C79"/>
    <w:rsid w:val="001C0831"/>
    <w:rsid w:val="001C0CA7"/>
    <w:rsid w:val="001C25EE"/>
    <w:rsid w:val="001C2AC9"/>
    <w:rsid w:val="001C2B2D"/>
    <w:rsid w:val="001C320C"/>
    <w:rsid w:val="001C5ECD"/>
    <w:rsid w:val="001C704F"/>
    <w:rsid w:val="001C77C2"/>
    <w:rsid w:val="001D3A9B"/>
    <w:rsid w:val="001D74D8"/>
    <w:rsid w:val="001E2E37"/>
    <w:rsid w:val="001E30E8"/>
    <w:rsid w:val="001E42F9"/>
    <w:rsid w:val="001E4385"/>
    <w:rsid w:val="001E4B54"/>
    <w:rsid w:val="001E644E"/>
    <w:rsid w:val="001E7891"/>
    <w:rsid w:val="001F3FA0"/>
    <w:rsid w:val="001F4E3D"/>
    <w:rsid w:val="001F5DA4"/>
    <w:rsid w:val="001F7602"/>
    <w:rsid w:val="00201552"/>
    <w:rsid w:val="002032E3"/>
    <w:rsid w:val="00204567"/>
    <w:rsid w:val="0020617F"/>
    <w:rsid w:val="002070D5"/>
    <w:rsid w:val="00210120"/>
    <w:rsid w:val="0021446A"/>
    <w:rsid w:val="0021749C"/>
    <w:rsid w:val="0021760A"/>
    <w:rsid w:val="00217BF1"/>
    <w:rsid w:val="00217D5F"/>
    <w:rsid w:val="002205A5"/>
    <w:rsid w:val="00221EE0"/>
    <w:rsid w:val="00223267"/>
    <w:rsid w:val="002252ED"/>
    <w:rsid w:val="002277A2"/>
    <w:rsid w:val="00232190"/>
    <w:rsid w:val="00232A7D"/>
    <w:rsid w:val="00232F4C"/>
    <w:rsid w:val="00233A19"/>
    <w:rsid w:val="00233BB5"/>
    <w:rsid w:val="00234D5D"/>
    <w:rsid w:val="0023542A"/>
    <w:rsid w:val="00237465"/>
    <w:rsid w:val="00240A96"/>
    <w:rsid w:val="00240C17"/>
    <w:rsid w:val="00241CFD"/>
    <w:rsid w:val="00242FAC"/>
    <w:rsid w:val="00243A9B"/>
    <w:rsid w:val="00244643"/>
    <w:rsid w:val="0024722F"/>
    <w:rsid w:val="00247E39"/>
    <w:rsid w:val="0025075D"/>
    <w:rsid w:val="002508F6"/>
    <w:rsid w:val="002512FD"/>
    <w:rsid w:val="0025286D"/>
    <w:rsid w:val="00252A40"/>
    <w:rsid w:val="00252B35"/>
    <w:rsid w:val="00254908"/>
    <w:rsid w:val="00255816"/>
    <w:rsid w:val="00256960"/>
    <w:rsid w:val="00257C44"/>
    <w:rsid w:val="002626BF"/>
    <w:rsid w:val="0026437D"/>
    <w:rsid w:val="00264E5E"/>
    <w:rsid w:val="00265CBD"/>
    <w:rsid w:val="002719AE"/>
    <w:rsid w:val="00272392"/>
    <w:rsid w:val="00274C51"/>
    <w:rsid w:val="00276BE1"/>
    <w:rsid w:val="00277DA1"/>
    <w:rsid w:val="00280308"/>
    <w:rsid w:val="0028289D"/>
    <w:rsid w:val="00282F44"/>
    <w:rsid w:val="00284ADF"/>
    <w:rsid w:val="0028703A"/>
    <w:rsid w:val="0029213F"/>
    <w:rsid w:val="00292E78"/>
    <w:rsid w:val="00293416"/>
    <w:rsid w:val="002941F9"/>
    <w:rsid w:val="00295564"/>
    <w:rsid w:val="0029725A"/>
    <w:rsid w:val="00297475"/>
    <w:rsid w:val="00297690"/>
    <w:rsid w:val="002977A9"/>
    <w:rsid w:val="002A0541"/>
    <w:rsid w:val="002A39F8"/>
    <w:rsid w:val="002A513A"/>
    <w:rsid w:val="002A7C9B"/>
    <w:rsid w:val="002B41E0"/>
    <w:rsid w:val="002B64A7"/>
    <w:rsid w:val="002B7D57"/>
    <w:rsid w:val="002C26AD"/>
    <w:rsid w:val="002C5BDF"/>
    <w:rsid w:val="002C627D"/>
    <w:rsid w:val="002D1232"/>
    <w:rsid w:val="002D321D"/>
    <w:rsid w:val="002D5E3F"/>
    <w:rsid w:val="002D65A1"/>
    <w:rsid w:val="002D78BD"/>
    <w:rsid w:val="002D7BB4"/>
    <w:rsid w:val="002E00C8"/>
    <w:rsid w:val="002E0569"/>
    <w:rsid w:val="002E09A7"/>
    <w:rsid w:val="002E169A"/>
    <w:rsid w:val="002E2388"/>
    <w:rsid w:val="002E41E9"/>
    <w:rsid w:val="002E47CC"/>
    <w:rsid w:val="002E7ADF"/>
    <w:rsid w:val="002E7FA3"/>
    <w:rsid w:val="002F0A29"/>
    <w:rsid w:val="002F315B"/>
    <w:rsid w:val="002F4871"/>
    <w:rsid w:val="002F52F2"/>
    <w:rsid w:val="002F6D48"/>
    <w:rsid w:val="003008B5"/>
    <w:rsid w:val="00300E9F"/>
    <w:rsid w:val="00301C1B"/>
    <w:rsid w:val="00301DCB"/>
    <w:rsid w:val="003025EC"/>
    <w:rsid w:val="00306EE2"/>
    <w:rsid w:val="00310B7E"/>
    <w:rsid w:val="00310D0E"/>
    <w:rsid w:val="00311535"/>
    <w:rsid w:val="00311734"/>
    <w:rsid w:val="0031174B"/>
    <w:rsid w:val="00311AAA"/>
    <w:rsid w:val="00312E38"/>
    <w:rsid w:val="003135A4"/>
    <w:rsid w:val="00314281"/>
    <w:rsid w:val="0031564C"/>
    <w:rsid w:val="00315CA2"/>
    <w:rsid w:val="00316BD8"/>
    <w:rsid w:val="00323681"/>
    <w:rsid w:val="003240C3"/>
    <w:rsid w:val="003246D7"/>
    <w:rsid w:val="00326731"/>
    <w:rsid w:val="003268AE"/>
    <w:rsid w:val="003273C5"/>
    <w:rsid w:val="00331C3F"/>
    <w:rsid w:val="003345BF"/>
    <w:rsid w:val="00335606"/>
    <w:rsid w:val="0033682C"/>
    <w:rsid w:val="00336A5A"/>
    <w:rsid w:val="00337288"/>
    <w:rsid w:val="0034028B"/>
    <w:rsid w:val="00342258"/>
    <w:rsid w:val="003428E7"/>
    <w:rsid w:val="00343897"/>
    <w:rsid w:val="00344FFA"/>
    <w:rsid w:val="003452A8"/>
    <w:rsid w:val="003454C3"/>
    <w:rsid w:val="00347C12"/>
    <w:rsid w:val="00347D6F"/>
    <w:rsid w:val="00350909"/>
    <w:rsid w:val="003516DA"/>
    <w:rsid w:val="0035448D"/>
    <w:rsid w:val="00356365"/>
    <w:rsid w:val="003571F3"/>
    <w:rsid w:val="00361DC8"/>
    <w:rsid w:val="00361F60"/>
    <w:rsid w:val="00362EF6"/>
    <w:rsid w:val="00363707"/>
    <w:rsid w:val="00363C76"/>
    <w:rsid w:val="003654D7"/>
    <w:rsid w:val="00366326"/>
    <w:rsid w:val="003728CF"/>
    <w:rsid w:val="00372E31"/>
    <w:rsid w:val="00373279"/>
    <w:rsid w:val="00373EF7"/>
    <w:rsid w:val="00373F89"/>
    <w:rsid w:val="00374E35"/>
    <w:rsid w:val="00376BB5"/>
    <w:rsid w:val="00377FB9"/>
    <w:rsid w:val="003801EC"/>
    <w:rsid w:val="003808F8"/>
    <w:rsid w:val="0038246D"/>
    <w:rsid w:val="00384732"/>
    <w:rsid w:val="0038473C"/>
    <w:rsid w:val="00384A41"/>
    <w:rsid w:val="00385444"/>
    <w:rsid w:val="00385930"/>
    <w:rsid w:val="00385F2F"/>
    <w:rsid w:val="0038600C"/>
    <w:rsid w:val="00387957"/>
    <w:rsid w:val="00390D0E"/>
    <w:rsid w:val="0039131F"/>
    <w:rsid w:val="003916E1"/>
    <w:rsid w:val="00391FDB"/>
    <w:rsid w:val="00392BE4"/>
    <w:rsid w:val="00392DF2"/>
    <w:rsid w:val="003949F1"/>
    <w:rsid w:val="003955F2"/>
    <w:rsid w:val="00395712"/>
    <w:rsid w:val="003976C1"/>
    <w:rsid w:val="003A1227"/>
    <w:rsid w:val="003A2319"/>
    <w:rsid w:val="003A4178"/>
    <w:rsid w:val="003A5A5A"/>
    <w:rsid w:val="003A5CCF"/>
    <w:rsid w:val="003A618F"/>
    <w:rsid w:val="003A65CF"/>
    <w:rsid w:val="003A7124"/>
    <w:rsid w:val="003B0C9D"/>
    <w:rsid w:val="003B5197"/>
    <w:rsid w:val="003B5564"/>
    <w:rsid w:val="003B5732"/>
    <w:rsid w:val="003B7DF5"/>
    <w:rsid w:val="003C2457"/>
    <w:rsid w:val="003C2A56"/>
    <w:rsid w:val="003C530C"/>
    <w:rsid w:val="003C553C"/>
    <w:rsid w:val="003D0876"/>
    <w:rsid w:val="003D0CC9"/>
    <w:rsid w:val="003D46CE"/>
    <w:rsid w:val="003D534D"/>
    <w:rsid w:val="003D54FA"/>
    <w:rsid w:val="003D6369"/>
    <w:rsid w:val="003D7A70"/>
    <w:rsid w:val="003E1536"/>
    <w:rsid w:val="003E1F12"/>
    <w:rsid w:val="003E4274"/>
    <w:rsid w:val="003E5F9F"/>
    <w:rsid w:val="003E6E37"/>
    <w:rsid w:val="003F0D91"/>
    <w:rsid w:val="003F15BB"/>
    <w:rsid w:val="003F2F59"/>
    <w:rsid w:val="003F5AFC"/>
    <w:rsid w:val="003F5DF1"/>
    <w:rsid w:val="003F5FEA"/>
    <w:rsid w:val="003F6CBC"/>
    <w:rsid w:val="003F73E7"/>
    <w:rsid w:val="003F7940"/>
    <w:rsid w:val="004007F6"/>
    <w:rsid w:val="00401837"/>
    <w:rsid w:val="00401CE6"/>
    <w:rsid w:val="00404344"/>
    <w:rsid w:val="0040647F"/>
    <w:rsid w:val="0040732E"/>
    <w:rsid w:val="0041227B"/>
    <w:rsid w:val="00413B95"/>
    <w:rsid w:val="004146AF"/>
    <w:rsid w:val="004150BD"/>
    <w:rsid w:val="00420BF8"/>
    <w:rsid w:val="00421081"/>
    <w:rsid w:val="00421AF6"/>
    <w:rsid w:val="00422110"/>
    <w:rsid w:val="0042217A"/>
    <w:rsid w:val="004223B7"/>
    <w:rsid w:val="00422922"/>
    <w:rsid w:val="00423565"/>
    <w:rsid w:val="004240B6"/>
    <w:rsid w:val="00425884"/>
    <w:rsid w:val="00432F1A"/>
    <w:rsid w:val="004331BE"/>
    <w:rsid w:val="00433326"/>
    <w:rsid w:val="0043542A"/>
    <w:rsid w:val="00435622"/>
    <w:rsid w:val="004375F1"/>
    <w:rsid w:val="0043778D"/>
    <w:rsid w:val="00440E6B"/>
    <w:rsid w:val="00441477"/>
    <w:rsid w:val="00443376"/>
    <w:rsid w:val="00445A0D"/>
    <w:rsid w:val="00450B37"/>
    <w:rsid w:val="00450C38"/>
    <w:rsid w:val="0045237F"/>
    <w:rsid w:val="004538A3"/>
    <w:rsid w:val="00456735"/>
    <w:rsid w:val="004573D4"/>
    <w:rsid w:val="0046142C"/>
    <w:rsid w:val="00461BE4"/>
    <w:rsid w:val="004642EC"/>
    <w:rsid w:val="0046636C"/>
    <w:rsid w:val="004666B6"/>
    <w:rsid w:val="00466C46"/>
    <w:rsid w:val="00470B76"/>
    <w:rsid w:val="00470D5E"/>
    <w:rsid w:val="004715C4"/>
    <w:rsid w:val="004726E8"/>
    <w:rsid w:val="00474464"/>
    <w:rsid w:val="00474D9D"/>
    <w:rsid w:val="0047503C"/>
    <w:rsid w:val="00476451"/>
    <w:rsid w:val="00476600"/>
    <w:rsid w:val="00476666"/>
    <w:rsid w:val="004840B9"/>
    <w:rsid w:val="00485908"/>
    <w:rsid w:val="00485F95"/>
    <w:rsid w:val="00490854"/>
    <w:rsid w:val="00490D98"/>
    <w:rsid w:val="004911AC"/>
    <w:rsid w:val="00491ED9"/>
    <w:rsid w:val="0049348A"/>
    <w:rsid w:val="004942B0"/>
    <w:rsid w:val="00496B87"/>
    <w:rsid w:val="00497425"/>
    <w:rsid w:val="004A1E7B"/>
    <w:rsid w:val="004A38A0"/>
    <w:rsid w:val="004A3B3C"/>
    <w:rsid w:val="004A44A4"/>
    <w:rsid w:val="004A4C7F"/>
    <w:rsid w:val="004A6308"/>
    <w:rsid w:val="004A7AE4"/>
    <w:rsid w:val="004B395B"/>
    <w:rsid w:val="004B3C78"/>
    <w:rsid w:val="004B5BE5"/>
    <w:rsid w:val="004B61BB"/>
    <w:rsid w:val="004B7744"/>
    <w:rsid w:val="004B77DD"/>
    <w:rsid w:val="004B7FA9"/>
    <w:rsid w:val="004B7FB0"/>
    <w:rsid w:val="004C0FEA"/>
    <w:rsid w:val="004C0FF7"/>
    <w:rsid w:val="004C3BB9"/>
    <w:rsid w:val="004C4DA5"/>
    <w:rsid w:val="004C6582"/>
    <w:rsid w:val="004C6E05"/>
    <w:rsid w:val="004C6EBD"/>
    <w:rsid w:val="004C77D9"/>
    <w:rsid w:val="004D0F51"/>
    <w:rsid w:val="004D2480"/>
    <w:rsid w:val="004D3649"/>
    <w:rsid w:val="004D417B"/>
    <w:rsid w:val="004D42B2"/>
    <w:rsid w:val="004E1060"/>
    <w:rsid w:val="004E1B80"/>
    <w:rsid w:val="004E1C9D"/>
    <w:rsid w:val="004E4042"/>
    <w:rsid w:val="004E6B41"/>
    <w:rsid w:val="004E7703"/>
    <w:rsid w:val="004F09D5"/>
    <w:rsid w:val="004F3F88"/>
    <w:rsid w:val="004F5964"/>
    <w:rsid w:val="0050379F"/>
    <w:rsid w:val="00506BD1"/>
    <w:rsid w:val="005079D5"/>
    <w:rsid w:val="00510D42"/>
    <w:rsid w:val="00513338"/>
    <w:rsid w:val="00513C29"/>
    <w:rsid w:val="0051464F"/>
    <w:rsid w:val="00514A38"/>
    <w:rsid w:val="00520EE7"/>
    <w:rsid w:val="005263CA"/>
    <w:rsid w:val="00530D44"/>
    <w:rsid w:val="00531705"/>
    <w:rsid w:val="00532055"/>
    <w:rsid w:val="00532B72"/>
    <w:rsid w:val="00533609"/>
    <w:rsid w:val="00534822"/>
    <w:rsid w:val="00534E35"/>
    <w:rsid w:val="00544E67"/>
    <w:rsid w:val="00547475"/>
    <w:rsid w:val="00550828"/>
    <w:rsid w:val="00551411"/>
    <w:rsid w:val="00551FD4"/>
    <w:rsid w:val="00552B04"/>
    <w:rsid w:val="00552DCE"/>
    <w:rsid w:val="005532B7"/>
    <w:rsid w:val="0055585E"/>
    <w:rsid w:val="00556001"/>
    <w:rsid w:val="0055686F"/>
    <w:rsid w:val="00557926"/>
    <w:rsid w:val="00560C53"/>
    <w:rsid w:val="005616CF"/>
    <w:rsid w:val="005616E0"/>
    <w:rsid w:val="00562740"/>
    <w:rsid w:val="005634C2"/>
    <w:rsid w:val="00563D2C"/>
    <w:rsid w:val="00564E9E"/>
    <w:rsid w:val="00565067"/>
    <w:rsid w:val="005651CA"/>
    <w:rsid w:val="005662F1"/>
    <w:rsid w:val="00566B96"/>
    <w:rsid w:val="00570C1C"/>
    <w:rsid w:val="00570E99"/>
    <w:rsid w:val="00572BA6"/>
    <w:rsid w:val="00573420"/>
    <w:rsid w:val="00574150"/>
    <w:rsid w:val="005743BE"/>
    <w:rsid w:val="00574EDA"/>
    <w:rsid w:val="00575320"/>
    <w:rsid w:val="00576373"/>
    <w:rsid w:val="00577D9A"/>
    <w:rsid w:val="00580109"/>
    <w:rsid w:val="00582328"/>
    <w:rsid w:val="0058360D"/>
    <w:rsid w:val="00583911"/>
    <w:rsid w:val="00583935"/>
    <w:rsid w:val="00584A62"/>
    <w:rsid w:val="0058518E"/>
    <w:rsid w:val="00590AE5"/>
    <w:rsid w:val="00591B13"/>
    <w:rsid w:val="00593363"/>
    <w:rsid w:val="00595537"/>
    <w:rsid w:val="005A0C12"/>
    <w:rsid w:val="005A1175"/>
    <w:rsid w:val="005A1994"/>
    <w:rsid w:val="005A1AE6"/>
    <w:rsid w:val="005A2675"/>
    <w:rsid w:val="005A353E"/>
    <w:rsid w:val="005A3AA1"/>
    <w:rsid w:val="005A5970"/>
    <w:rsid w:val="005A69F6"/>
    <w:rsid w:val="005A6F4D"/>
    <w:rsid w:val="005B1B0C"/>
    <w:rsid w:val="005B4EF8"/>
    <w:rsid w:val="005B5AA6"/>
    <w:rsid w:val="005B6072"/>
    <w:rsid w:val="005B6BA5"/>
    <w:rsid w:val="005B7525"/>
    <w:rsid w:val="005B76B1"/>
    <w:rsid w:val="005B79CC"/>
    <w:rsid w:val="005C432A"/>
    <w:rsid w:val="005C54FE"/>
    <w:rsid w:val="005D0DE3"/>
    <w:rsid w:val="005D1C20"/>
    <w:rsid w:val="005D3E64"/>
    <w:rsid w:val="005E04EB"/>
    <w:rsid w:val="005F1B57"/>
    <w:rsid w:val="005F23CC"/>
    <w:rsid w:val="005F7CF7"/>
    <w:rsid w:val="006000A2"/>
    <w:rsid w:val="00601EB5"/>
    <w:rsid w:val="00602581"/>
    <w:rsid w:val="00603AC6"/>
    <w:rsid w:val="0060412A"/>
    <w:rsid w:val="00605464"/>
    <w:rsid w:val="00605949"/>
    <w:rsid w:val="00605CDE"/>
    <w:rsid w:val="006070FA"/>
    <w:rsid w:val="00607997"/>
    <w:rsid w:val="00611284"/>
    <w:rsid w:val="006120B2"/>
    <w:rsid w:val="00613EFD"/>
    <w:rsid w:val="0061751A"/>
    <w:rsid w:val="006177F0"/>
    <w:rsid w:val="00620D9F"/>
    <w:rsid w:val="00624DCD"/>
    <w:rsid w:val="006250FE"/>
    <w:rsid w:val="00627096"/>
    <w:rsid w:val="0063324F"/>
    <w:rsid w:val="006348AD"/>
    <w:rsid w:val="00635E09"/>
    <w:rsid w:val="006360BD"/>
    <w:rsid w:val="006360CF"/>
    <w:rsid w:val="006372EB"/>
    <w:rsid w:val="00637AC0"/>
    <w:rsid w:val="006401C7"/>
    <w:rsid w:val="006402D5"/>
    <w:rsid w:val="006475A5"/>
    <w:rsid w:val="00650740"/>
    <w:rsid w:val="00651A6E"/>
    <w:rsid w:val="0065393E"/>
    <w:rsid w:val="006543F5"/>
    <w:rsid w:val="00655EAA"/>
    <w:rsid w:val="00655EB1"/>
    <w:rsid w:val="00661522"/>
    <w:rsid w:val="006621D6"/>
    <w:rsid w:val="00663E38"/>
    <w:rsid w:val="00665875"/>
    <w:rsid w:val="0066610B"/>
    <w:rsid w:val="0066753D"/>
    <w:rsid w:val="006705A0"/>
    <w:rsid w:val="00672443"/>
    <w:rsid w:val="00680B78"/>
    <w:rsid w:val="006813B6"/>
    <w:rsid w:val="00682457"/>
    <w:rsid w:val="00690C2C"/>
    <w:rsid w:val="00692218"/>
    <w:rsid w:val="00692309"/>
    <w:rsid w:val="0069396D"/>
    <w:rsid w:val="006947B9"/>
    <w:rsid w:val="00697BE2"/>
    <w:rsid w:val="006A18C8"/>
    <w:rsid w:val="006A3FA0"/>
    <w:rsid w:val="006A4651"/>
    <w:rsid w:val="006A74E9"/>
    <w:rsid w:val="006A76C8"/>
    <w:rsid w:val="006B49D1"/>
    <w:rsid w:val="006B6489"/>
    <w:rsid w:val="006C00AC"/>
    <w:rsid w:val="006C2342"/>
    <w:rsid w:val="006C432D"/>
    <w:rsid w:val="006C460D"/>
    <w:rsid w:val="006C7698"/>
    <w:rsid w:val="006D0DAB"/>
    <w:rsid w:val="006D6517"/>
    <w:rsid w:val="006D7CF5"/>
    <w:rsid w:val="006E0987"/>
    <w:rsid w:val="006E0DD8"/>
    <w:rsid w:val="006E1122"/>
    <w:rsid w:val="006E37CF"/>
    <w:rsid w:val="006E45B2"/>
    <w:rsid w:val="006E690A"/>
    <w:rsid w:val="006F1CCE"/>
    <w:rsid w:val="006F489D"/>
    <w:rsid w:val="0070289F"/>
    <w:rsid w:val="00704171"/>
    <w:rsid w:val="007102A6"/>
    <w:rsid w:val="00711421"/>
    <w:rsid w:val="00711B7C"/>
    <w:rsid w:val="00711D58"/>
    <w:rsid w:val="0071385C"/>
    <w:rsid w:val="00715115"/>
    <w:rsid w:val="00715A22"/>
    <w:rsid w:val="00716765"/>
    <w:rsid w:val="007170AA"/>
    <w:rsid w:val="00717E73"/>
    <w:rsid w:val="00723CFD"/>
    <w:rsid w:val="00726938"/>
    <w:rsid w:val="00727285"/>
    <w:rsid w:val="00727336"/>
    <w:rsid w:val="00732474"/>
    <w:rsid w:val="00732B11"/>
    <w:rsid w:val="00733071"/>
    <w:rsid w:val="00734898"/>
    <w:rsid w:val="007356D4"/>
    <w:rsid w:val="00735C01"/>
    <w:rsid w:val="00736731"/>
    <w:rsid w:val="00737BEF"/>
    <w:rsid w:val="007417D2"/>
    <w:rsid w:val="0074347A"/>
    <w:rsid w:val="0074548C"/>
    <w:rsid w:val="00746101"/>
    <w:rsid w:val="007467FC"/>
    <w:rsid w:val="0074767C"/>
    <w:rsid w:val="00750AB1"/>
    <w:rsid w:val="00753735"/>
    <w:rsid w:val="00756610"/>
    <w:rsid w:val="0075710B"/>
    <w:rsid w:val="007602AC"/>
    <w:rsid w:val="00761AFB"/>
    <w:rsid w:val="00763098"/>
    <w:rsid w:val="00763D95"/>
    <w:rsid w:val="00766C77"/>
    <w:rsid w:val="007711B3"/>
    <w:rsid w:val="0077134B"/>
    <w:rsid w:val="0077476A"/>
    <w:rsid w:val="007752AA"/>
    <w:rsid w:val="00775C5A"/>
    <w:rsid w:val="00775D08"/>
    <w:rsid w:val="007773E1"/>
    <w:rsid w:val="00781FE2"/>
    <w:rsid w:val="00782ED1"/>
    <w:rsid w:val="00784166"/>
    <w:rsid w:val="00784694"/>
    <w:rsid w:val="00784A36"/>
    <w:rsid w:val="00784E6C"/>
    <w:rsid w:val="00785780"/>
    <w:rsid w:val="0078689B"/>
    <w:rsid w:val="00786CF9"/>
    <w:rsid w:val="007875EC"/>
    <w:rsid w:val="0079288D"/>
    <w:rsid w:val="00796BE7"/>
    <w:rsid w:val="007A00EF"/>
    <w:rsid w:val="007A0849"/>
    <w:rsid w:val="007A164B"/>
    <w:rsid w:val="007A227A"/>
    <w:rsid w:val="007A27BB"/>
    <w:rsid w:val="007A463A"/>
    <w:rsid w:val="007A489D"/>
    <w:rsid w:val="007A6F98"/>
    <w:rsid w:val="007A709C"/>
    <w:rsid w:val="007B00D6"/>
    <w:rsid w:val="007B036E"/>
    <w:rsid w:val="007B0F21"/>
    <w:rsid w:val="007B1409"/>
    <w:rsid w:val="007B33A2"/>
    <w:rsid w:val="007B4DE2"/>
    <w:rsid w:val="007B56C2"/>
    <w:rsid w:val="007B771E"/>
    <w:rsid w:val="007C1857"/>
    <w:rsid w:val="007C1D4C"/>
    <w:rsid w:val="007C221C"/>
    <w:rsid w:val="007C24E1"/>
    <w:rsid w:val="007C2F0C"/>
    <w:rsid w:val="007C635F"/>
    <w:rsid w:val="007C68B4"/>
    <w:rsid w:val="007C7C19"/>
    <w:rsid w:val="007C7C8D"/>
    <w:rsid w:val="007D2B8C"/>
    <w:rsid w:val="007D30F1"/>
    <w:rsid w:val="007D3624"/>
    <w:rsid w:val="007D438D"/>
    <w:rsid w:val="007D4AF2"/>
    <w:rsid w:val="007D4C79"/>
    <w:rsid w:val="007D50FC"/>
    <w:rsid w:val="007E2F44"/>
    <w:rsid w:val="007E3CCC"/>
    <w:rsid w:val="007E55F3"/>
    <w:rsid w:val="007E609D"/>
    <w:rsid w:val="007E700F"/>
    <w:rsid w:val="007F0D45"/>
    <w:rsid w:val="007F25E1"/>
    <w:rsid w:val="007F2775"/>
    <w:rsid w:val="007F2EE5"/>
    <w:rsid w:val="007F2F1C"/>
    <w:rsid w:val="007F3021"/>
    <w:rsid w:val="007F3A53"/>
    <w:rsid w:val="007F40BC"/>
    <w:rsid w:val="007F43DF"/>
    <w:rsid w:val="007F4C4A"/>
    <w:rsid w:val="007F5BCD"/>
    <w:rsid w:val="007F6F4B"/>
    <w:rsid w:val="00810764"/>
    <w:rsid w:val="00814346"/>
    <w:rsid w:val="00815BB5"/>
    <w:rsid w:val="008174AC"/>
    <w:rsid w:val="0081772B"/>
    <w:rsid w:val="00822544"/>
    <w:rsid w:val="008227A8"/>
    <w:rsid w:val="008235F8"/>
    <w:rsid w:val="008266EC"/>
    <w:rsid w:val="0082710F"/>
    <w:rsid w:val="0082783D"/>
    <w:rsid w:val="008304AC"/>
    <w:rsid w:val="00832CC3"/>
    <w:rsid w:val="00833813"/>
    <w:rsid w:val="00835A51"/>
    <w:rsid w:val="008424E7"/>
    <w:rsid w:val="0084290E"/>
    <w:rsid w:val="00843370"/>
    <w:rsid w:val="00844D08"/>
    <w:rsid w:val="00851A26"/>
    <w:rsid w:val="00853681"/>
    <w:rsid w:val="00854460"/>
    <w:rsid w:val="0085509C"/>
    <w:rsid w:val="00856FB0"/>
    <w:rsid w:val="00857925"/>
    <w:rsid w:val="00857CB8"/>
    <w:rsid w:val="00862D10"/>
    <w:rsid w:val="00866792"/>
    <w:rsid w:val="00871419"/>
    <w:rsid w:val="00873CDE"/>
    <w:rsid w:val="00874B90"/>
    <w:rsid w:val="00874F04"/>
    <w:rsid w:val="00875663"/>
    <w:rsid w:val="008760E2"/>
    <w:rsid w:val="0088706A"/>
    <w:rsid w:val="008878A3"/>
    <w:rsid w:val="008878C7"/>
    <w:rsid w:val="008902BB"/>
    <w:rsid w:val="00890A02"/>
    <w:rsid w:val="00891279"/>
    <w:rsid w:val="008923EB"/>
    <w:rsid w:val="0089401A"/>
    <w:rsid w:val="008971CA"/>
    <w:rsid w:val="00897FF0"/>
    <w:rsid w:val="008A29C4"/>
    <w:rsid w:val="008A42E5"/>
    <w:rsid w:val="008A4B7D"/>
    <w:rsid w:val="008A58C0"/>
    <w:rsid w:val="008B1337"/>
    <w:rsid w:val="008B36C4"/>
    <w:rsid w:val="008B486C"/>
    <w:rsid w:val="008C1070"/>
    <w:rsid w:val="008C14DA"/>
    <w:rsid w:val="008C3CBB"/>
    <w:rsid w:val="008C4FB5"/>
    <w:rsid w:val="008C5B47"/>
    <w:rsid w:val="008D0A45"/>
    <w:rsid w:val="008D0B95"/>
    <w:rsid w:val="008E017E"/>
    <w:rsid w:val="008E103F"/>
    <w:rsid w:val="008E2121"/>
    <w:rsid w:val="008E2B63"/>
    <w:rsid w:val="008E2F75"/>
    <w:rsid w:val="008E5423"/>
    <w:rsid w:val="008F03B7"/>
    <w:rsid w:val="008F1FFD"/>
    <w:rsid w:val="008F27B9"/>
    <w:rsid w:val="008F29F9"/>
    <w:rsid w:val="008F3035"/>
    <w:rsid w:val="008F3A85"/>
    <w:rsid w:val="008F3ED3"/>
    <w:rsid w:val="008F4A95"/>
    <w:rsid w:val="008F7AF2"/>
    <w:rsid w:val="009027F4"/>
    <w:rsid w:val="00902810"/>
    <w:rsid w:val="009028B8"/>
    <w:rsid w:val="00903CCC"/>
    <w:rsid w:val="00904690"/>
    <w:rsid w:val="009077D4"/>
    <w:rsid w:val="0091077B"/>
    <w:rsid w:val="00912BE9"/>
    <w:rsid w:val="0091385E"/>
    <w:rsid w:val="009156A8"/>
    <w:rsid w:val="009168E9"/>
    <w:rsid w:val="00916A92"/>
    <w:rsid w:val="00916F00"/>
    <w:rsid w:val="00924EDE"/>
    <w:rsid w:val="00926264"/>
    <w:rsid w:val="009274AF"/>
    <w:rsid w:val="00930109"/>
    <w:rsid w:val="009309FC"/>
    <w:rsid w:val="00933261"/>
    <w:rsid w:val="009335FB"/>
    <w:rsid w:val="00933A31"/>
    <w:rsid w:val="00934E24"/>
    <w:rsid w:val="00935599"/>
    <w:rsid w:val="00940BB9"/>
    <w:rsid w:val="00945F8E"/>
    <w:rsid w:val="009508F0"/>
    <w:rsid w:val="00952031"/>
    <w:rsid w:val="00952851"/>
    <w:rsid w:val="00952976"/>
    <w:rsid w:val="00954743"/>
    <w:rsid w:val="00954D81"/>
    <w:rsid w:val="00954E63"/>
    <w:rsid w:val="009554C5"/>
    <w:rsid w:val="0095744C"/>
    <w:rsid w:val="00957843"/>
    <w:rsid w:val="009603F3"/>
    <w:rsid w:val="009623FB"/>
    <w:rsid w:val="009643E2"/>
    <w:rsid w:val="00965C05"/>
    <w:rsid w:val="009708BB"/>
    <w:rsid w:val="00972786"/>
    <w:rsid w:val="00972A47"/>
    <w:rsid w:val="00973757"/>
    <w:rsid w:val="00974A71"/>
    <w:rsid w:val="009754EA"/>
    <w:rsid w:val="00975759"/>
    <w:rsid w:val="009801C8"/>
    <w:rsid w:val="00981F5D"/>
    <w:rsid w:val="009822DA"/>
    <w:rsid w:val="009835F9"/>
    <w:rsid w:val="00983B1C"/>
    <w:rsid w:val="00990A22"/>
    <w:rsid w:val="00991202"/>
    <w:rsid w:val="0099137B"/>
    <w:rsid w:val="009916E4"/>
    <w:rsid w:val="009917F9"/>
    <w:rsid w:val="00993A0E"/>
    <w:rsid w:val="009944BF"/>
    <w:rsid w:val="009954C3"/>
    <w:rsid w:val="009A0AB4"/>
    <w:rsid w:val="009A14C1"/>
    <w:rsid w:val="009A1BC5"/>
    <w:rsid w:val="009A20C4"/>
    <w:rsid w:val="009A4B42"/>
    <w:rsid w:val="009A5741"/>
    <w:rsid w:val="009A5941"/>
    <w:rsid w:val="009A7C41"/>
    <w:rsid w:val="009A7DD6"/>
    <w:rsid w:val="009B2439"/>
    <w:rsid w:val="009B2C96"/>
    <w:rsid w:val="009B3547"/>
    <w:rsid w:val="009B5338"/>
    <w:rsid w:val="009C2D59"/>
    <w:rsid w:val="009C4109"/>
    <w:rsid w:val="009C52FB"/>
    <w:rsid w:val="009C60DE"/>
    <w:rsid w:val="009C614C"/>
    <w:rsid w:val="009C7EC4"/>
    <w:rsid w:val="009D114E"/>
    <w:rsid w:val="009D16ED"/>
    <w:rsid w:val="009D2B15"/>
    <w:rsid w:val="009D3D81"/>
    <w:rsid w:val="009D451F"/>
    <w:rsid w:val="009D510B"/>
    <w:rsid w:val="009D560B"/>
    <w:rsid w:val="009E058E"/>
    <w:rsid w:val="009E127C"/>
    <w:rsid w:val="009E15B0"/>
    <w:rsid w:val="009E7CB1"/>
    <w:rsid w:val="009F01E1"/>
    <w:rsid w:val="009F0A59"/>
    <w:rsid w:val="009F139A"/>
    <w:rsid w:val="009F194E"/>
    <w:rsid w:val="009F6644"/>
    <w:rsid w:val="009F71A8"/>
    <w:rsid w:val="00A06C9E"/>
    <w:rsid w:val="00A14EA4"/>
    <w:rsid w:val="00A16D12"/>
    <w:rsid w:val="00A20CAB"/>
    <w:rsid w:val="00A215CF"/>
    <w:rsid w:val="00A255D4"/>
    <w:rsid w:val="00A26188"/>
    <w:rsid w:val="00A3084C"/>
    <w:rsid w:val="00A31C0A"/>
    <w:rsid w:val="00A32740"/>
    <w:rsid w:val="00A3314F"/>
    <w:rsid w:val="00A348F1"/>
    <w:rsid w:val="00A4113A"/>
    <w:rsid w:val="00A43C8F"/>
    <w:rsid w:val="00A446BA"/>
    <w:rsid w:val="00A4504F"/>
    <w:rsid w:val="00A470DF"/>
    <w:rsid w:val="00A475FE"/>
    <w:rsid w:val="00A47DD1"/>
    <w:rsid w:val="00A50988"/>
    <w:rsid w:val="00A50F92"/>
    <w:rsid w:val="00A51544"/>
    <w:rsid w:val="00A52741"/>
    <w:rsid w:val="00A5692C"/>
    <w:rsid w:val="00A56A6C"/>
    <w:rsid w:val="00A56CFA"/>
    <w:rsid w:val="00A62916"/>
    <w:rsid w:val="00A6378E"/>
    <w:rsid w:val="00A65066"/>
    <w:rsid w:val="00A66B19"/>
    <w:rsid w:val="00A67779"/>
    <w:rsid w:val="00A727C6"/>
    <w:rsid w:val="00A73830"/>
    <w:rsid w:val="00A753A1"/>
    <w:rsid w:val="00A759CB"/>
    <w:rsid w:val="00A810AD"/>
    <w:rsid w:val="00A8198C"/>
    <w:rsid w:val="00A82221"/>
    <w:rsid w:val="00A82DF5"/>
    <w:rsid w:val="00A85A6A"/>
    <w:rsid w:val="00A87E56"/>
    <w:rsid w:val="00A902FA"/>
    <w:rsid w:val="00A907DB"/>
    <w:rsid w:val="00A9271E"/>
    <w:rsid w:val="00A94281"/>
    <w:rsid w:val="00A9767B"/>
    <w:rsid w:val="00AA0B4A"/>
    <w:rsid w:val="00AA3079"/>
    <w:rsid w:val="00AA3B64"/>
    <w:rsid w:val="00AA3EAF"/>
    <w:rsid w:val="00AA43DA"/>
    <w:rsid w:val="00AA6891"/>
    <w:rsid w:val="00AB052D"/>
    <w:rsid w:val="00AB52C5"/>
    <w:rsid w:val="00AB6CDC"/>
    <w:rsid w:val="00AC2F6E"/>
    <w:rsid w:val="00AC3EA5"/>
    <w:rsid w:val="00AC6931"/>
    <w:rsid w:val="00AC6D0D"/>
    <w:rsid w:val="00AC6E58"/>
    <w:rsid w:val="00AC721D"/>
    <w:rsid w:val="00AD0729"/>
    <w:rsid w:val="00AD1029"/>
    <w:rsid w:val="00AD1765"/>
    <w:rsid w:val="00AD274B"/>
    <w:rsid w:val="00AD481C"/>
    <w:rsid w:val="00AD5B42"/>
    <w:rsid w:val="00AD63AD"/>
    <w:rsid w:val="00AD6566"/>
    <w:rsid w:val="00AE06FB"/>
    <w:rsid w:val="00AE2394"/>
    <w:rsid w:val="00AE23F8"/>
    <w:rsid w:val="00AE426D"/>
    <w:rsid w:val="00AE4870"/>
    <w:rsid w:val="00AE4CB1"/>
    <w:rsid w:val="00AE6FD1"/>
    <w:rsid w:val="00AF26CF"/>
    <w:rsid w:val="00AF29C6"/>
    <w:rsid w:val="00AF342B"/>
    <w:rsid w:val="00AF3DB3"/>
    <w:rsid w:val="00AF5EF1"/>
    <w:rsid w:val="00AF6679"/>
    <w:rsid w:val="00AF6C74"/>
    <w:rsid w:val="00B02647"/>
    <w:rsid w:val="00B04C26"/>
    <w:rsid w:val="00B059BA"/>
    <w:rsid w:val="00B05AAD"/>
    <w:rsid w:val="00B06A00"/>
    <w:rsid w:val="00B06BD1"/>
    <w:rsid w:val="00B07521"/>
    <w:rsid w:val="00B0790B"/>
    <w:rsid w:val="00B135A4"/>
    <w:rsid w:val="00B13A2B"/>
    <w:rsid w:val="00B14B4F"/>
    <w:rsid w:val="00B14ECC"/>
    <w:rsid w:val="00B1518D"/>
    <w:rsid w:val="00B1643E"/>
    <w:rsid w:val="00B17DDF"/>
    <w:rsid w:val="00B2125B"/>
    <w:rsid w:val="00B23C69"/>
    <w:rsid w:val="00B2477B"/>
    <w:rsid w:val="00B249B1"/>
    <w:rsid w:val="00B26421"/>
    <w:rsid w:val="00B269B8"/>
    <w:rsid w:val="00B26BA0"/>
    <w:rsid w:val="00B27476"/>
    <w:rsid w:val="00B27CE5"/>
    <w:rsid w:val="00B31AA6"/>
    <w:rsid w:val="00B32478"/>
    <w:rsid w:val="00B329CD"/>
    <w:rsid w:val="00B35770"/>
    <w:rsid w:val="00B360D2"/>
    <w:rsid w:val="00B36FF3"/>
    <w:rsid w:val="00B3720F"/>
    <w:rsid w:val="00B40080"/>
    <w:rsid w:val="00B40499"/>
    <w:rsid w:val="00B41580"/>
    <w:rsid w:val="00B42416"/>
    <w:rsid w:val="00B426A1"/>
    <w:rsid w:val="00B426F9"/>
    <w:rsid w:val="00B47BCF"/>
    <w:rsid w:val="00B521E7"/>
    <w:rsid w:val="00B52963"/>
    <w:rsid w:val="00B53248"/>
    <w:rsid w:val="00B55251"/>
    <w:rsid w:val="00B5711C"/>
    <w:rsid w:val="00B61628"/>
    <w:rsid w:val="00B62EA8"/>
    <w:rsid w:val="00B63730"/>
    <w:rsid w:val="00B64A1B"/>
    <w:rsid w:val="00B65733"/>
    <w:rsid w:val="00B66B3E"/>
    <w:rsid w:val="00B670F9"/>
    <w:rsid w:val="00B71C47"/>
    <w:rsid w:val="00B72B38"/>
    <w:rsid w:val="00B7391C"/>
    <w:rsid w:val="00B7437F"/>
    <w:rsid w:val="00B74CF8"/>
    <w:rsid w:val="00B7500F"/>
    <w:rsid w:val="00B77839"/>
    <w:rsid w:val="00B77C80"/>
    <w:rsid w:val="00B815E8"/>
    <w:rsid w:val="00B85142"/>
    <w:rsid w:val="00B851F3"/>
    <w:rsid w:val="00B9070C"/>
    <w:rsid w:val="00B91A09"/>
    <w:rsid w:val="00B91C9C"/>
    <w:rsid w:val="00B96699"/>
    <w:rsid w:val="00B97ABF"/>
    <w:rsid w:val="00BA05DF"/>
    <w:rsid w:val="00BA4EAC"/>
    <w:rsid w:val="00BA62E9"/>
    <w:rsid w:val="00BA6325"/>
    <w:rsid w:val="00BA6864"/>
    <w:rsid w:val="00BA6E1C"/>
    <w:rsid w:val="00BA7D10"/>
    <w:rsid w:val="00BB08CB"/>
    <w:rsid w:val="00BB1333"/>
    <w:rsid w:val="00BB1E64"/>
    <w:rsid w:val="00BB235B"/>
    <w:rsid w:val="00BB2C58"/>
    <w:rsid w:val="00BB3601"/>
    <w:rsid w:val="00BB65D1"/>
    <w:rsid w:val="00BB6CEE"/>
    <w:rsid w:val="00BB7AA2"/>
    <w:rsid w:val="00BB7DEB"/>
    <w:rsid w:val="00BC07B8"/>
    <w:rsid w:val="00BC0B5C"/>
    <w:rsid w:val="00BC1C8A"/>
    <w:rsid w:val="00BC49A5"/>
    <w:rsid w:val="00BC545A"/>
    <w:rsid w:val="00BC5913"/>
    <w:rsid w:val="00BC6A16"/>
    <w:rsid w:val="00BD39D6"/>
    <w:rsid w:val="00BD3AC6"/>
    <w:rsid w:val="00BD3F11"/>
    <w:rsid w:val="00BD4DB1"/>
    <w:rsid w:val="00BD5A23"/>
    <w:rsid w:val="00BD7D28"/>
    <w:rsid w:val="00BE054E"/>
    <w:rsid w:val="00BE08FF"/>
    <w:rsid w:val="00BE1823"/>
    <w:rsid w:val="00BE2D20"/>
    <w:rsid w:val="00BE4A64"/>
    <w:rsid w:val="00BE5DED"/>
    <w:rsid w:val="00BE6F69"/>
    <w:rsid w:val="00BF0B0E"/>
    <w:rsid w:val="00BF0E6D"/>
    <w:rsid w:val="00BF1188"/>
    <w:rsid w:val="00BF1724"/>
    <w:rsid w:val="00BF17F8"/>
    <w:rsid w:val="00BF19B1"/>
    <w:rsid w:val="00BF714F"/>
    <w:rsid w:val="00C01209"/>
    <w:rsid w:val="00C01AD0"/>
    <w:rsid w:val="00C05117"/>
    <w:rsid w:val="00C05A23"/>
    <w:rsid w:val="00C0793C"/>
    <w:rsid w:val="00C107A7"/>
    <w:rsid w:val="00C10B73"/>
    <w:rsid w:val="00C1355B"/>
    <w:rsid w:val="00C13B8E"/>
    <w:rsid w:val="00C142CF"/>
    <w:rsid w:val="00C146C5"/>
    <w:rsid w:val="00C15687"/>
    <w:rsid w:val="00C16620"/>
    <w:rsid w:val="00C21747"/>
    <w:rsid w:val="00C23A05"/>
    <w:rsid w:val="00C272B2"/>
    <w:rsid w:val="00C31A38"/>
    <w:rsid w:val="00C32921"/>
    <w:rsid w:val="00C3406B"/>
    <w:rsid w:val="00C35D37"/>
    <w:rsid w:val="00C372A4"/>
    <w:rsid w:val="00C41A76"/>
    <w:rsid w:val="00C42F18"/>
    <w:rsid w:val="00C434C2"/>
    <w:rsid w:val="00C43531"/>
    <w:rsid w:val="00C51D8A"/>
    <w:rsid w:val="00C5203E"/>
    <w:rsid w:val="00C52B83"/>
    <w:rsid w:val="00C533B1"/>
    <w:rsid w:val="00C53EA6"/>
    <w:rsid w:val="00C55B17"/>
    <w:rsid w:val="00C5637F"/>
    <w:rsid w:val="00C56BFA"/>
    <w:rsid w:val="00C61596"/>
    <w:rsid w:val="00C63AC4"/>
    <w:rsid w:val="00C70183"/>
    <w:rsid w:val="00C70342"/>
    <w:rsid w:val="00C723F7"/>
    <w:rsid w:val="00C72A67"/>
    <w:rsid w:val="00C73B55"/>
    <w:rsid w:val="00C74115"/>
    <w:rsid w:val="00C743B9"/>
    <w:rsid w:val="00C76E7F"/>
    <w:rsid w:val="00C7736C"/>
    <w:rsid w:val="00C77F2A"/>
    <w:rsid w:val="00C77FDB"/>
    <w:rsid w:val="00C81965"/>
    <w:rsid w:val="00C825B5"/>
    <w:rsid w:val="00C8500C"/>
    <w:rsid w:val="00C86A08"/>
    <w:rsid w:val="00C8710F"/>
    <w:rsid w:val="00C87C35"/>
    <w:rsid w:val="00C9215E"/>
    <w:rsid w:val="00C93C46"/>
    <w:rsid w:val="00C94AA5"/>
    <w:rsid w:val="00C9611D"/>
    <w:rsid w:val="00CA1866"/>
    <w:rsid w:val="00CA2489"/>
    <w:rsid w:val="00CA26E5"/>
    <w:rsid w:val="00CA61EB"/>
    <w:rsid w:val="00CA6716"/>
    <w:rsid w:val="00CA7290"/>
    <w:rsid w:val="00CB157A"/>
    <w:rsid w:val="00CB2DF1"/>
    <w:rsid w:val="00CB4681"/>
    <w:rsid w:val="00CB489E"/>
    <w:rsid w:val="00CB5DDF"/>
    <w:rsid w:val="00CB65CB"/>
    <w:rsid w:val="00CB6D6B"/>
    <w:rsid w:val="00CB768C"/>
    <w:rsid w:val="00CC0685"/>
    <w:rsid w:val="00CC21BE"/>
    <w:rsid w:val="00CC57B7"/>
    <w:rsid w:val="00CC78E4"/>
    <w:rsid w:val="00CD3599"/>
    <w:rsid w:val="00CD4A16"/>
    <w:rsid w:val="00CD604D"/>
    <w:rsid w:val="00CE0AEB"/>
    <w:rsid w:val="00CE257A"/>
    <w:rsid w:val="00CE5255"/>
    <w:rsid w:val="00CE68FB"/>
    <w:rsid w:val="00CF1425"/>
    <w:rsid w:val="00CF17EA"/>
    <w:rsid w:val="00CF24E4"/>
    <w:rsid w:val="00CF3813"/>
    <w:rsid w:val="00CF3E6D"/>
    <w:rsid w:val="00CF5857"/>
    <w:rsid w:val="00CF6A28"/>
    <w:rsid w:val="00D00217"/>
    <w:rsid w:val="00D0284E"/>
    <w:rsid w:val="00D03D49"/>
    <w:rsid w:val="00D04A58"/>
    <w:rsid w:val="00D05522"/>
    <w:rsid w:val="00D0611E"/>
    <w:rsid w:val="00D11FA1"/>
    <w:rsid w:val="00D13824"/>
    <w:rsid w:val="00D143A9"/>
    <w:rsid w:val="00D20087"/>
    <w:rsid w:val="00D20CD3"/>
    <w:rsid w:val="00D21A50"/>
    <w:rsid w:val="00D22073"/>
    <w:rsid w:val="00D23D20"/>
    <w:rsid w:val="00D24384"/>
    <w:rsid w:val="00D254E5"/>
    <w:rsid w:val="00D25509"/>
    <w:rsid w:val="00D26529"/>
    <w:rsid w:val="00D27C65"/>
    <w:rsid w:val="00D300C9"/>
    <w:rsid w:val="00D34340"/>
    <w:rsid w:val="00D3478D"/>
    <w:rsid w:val="00D34E97"/>
    <w:rsid w:val="00D352DB"/>
    <w:rsid w:val="00D35CA7"/>
    <w:rsid w:val="00D3715B"/>
    <w:rsid w:val="00D37630"/>
    <w:rsid w:val="00D430F2"/>
    <w:rsid w:val="00D44481"/>
    <w:rsid w:val="00D45F16"/>
    <w:rsid w:val="00D47908"/>
    <w:rsid w:val="00D50D73"/>
    <w:rsid w:val="00D53254"/>
    <w:rsid w:val="00D53E3E"/>
    <w:rsid w:val="00D55A19"/>
    <w:rsid w:val="00D56645"/>
    <w:rsid w:val="00D570DD"/>
    <w:rsid w:val="00D5758D"/>
    <w:rsid w:val="00D60721"/>
    <w:rsid w:val="00D6170B"/>
    <w:rsid w:val="00D6175D"/>
    <w:rsid w:val="00D61A56"/>
    <w:rsid w:val="00D624CC"/>
    <w:rsid w:val="00D62560"/>
    <w:rsid w:val="00D63EF9"/>
    <w:rsid w:val="00D66476"/>
    <w:rsid w:val="00D7005E"/>
    <w:rsid w:val="00D718E1"/>
    <w:rsid w:val="00D73633"/>
    <w:rsid w:val="00D73AA5"/>
    <w:rsid w:val="00D7554F"/>
    <w:rsid w:val="00D772F1"/>
    <w:rsid w:val="00D7769B"/>
    <w:rsid w:val="00D804EA"/>
    <w:rsid w:val="00D813DB"/>
    <w:rsid w:val="00D818C6"/>
    <w:rsid w:val="00D82799"/>
    <w:rsid w:val="00D82864"/>
    <w:rsid w:val="00D8532F"/>
    <w:rsid w:val="00D85DD8"/>
    <w:rsid w:val="00D8763D"/>
    <w:rsid w:val="00D91199"/>
    <w:rsid w:val="00DA0E5B"/>
    <w:rsid w:val="00DA275C"/>
    <w:rsid w:val="00DA3AC2"/>
    <w:rsid w:val="00DA4087"/>
    <w:rsid w:val="00DA5673"/>
    <w:rsid w:val="00DA64B8"/>
    <w:rsid w:val="00DA64F4"/>
    <w:rsid w:val="00DA7449"/>
    <w:rsid w:val="00DA7B3A"/>
    <w:rsid w:val="00DA7D06"/>
    <w:rsid w:val="00DB05A6"/>
    <w:rsid w:val="00DB1369"/>
    <w:rsid w:val="00DB3A18"/>
    <w:rsid w:val="00DB75E4"/>
    <w:rsid w:val="00DC03BB"/>
    <w:rsid w:val="00DC1B64"/>
    <w:rsid w:val="00DC1F2E"/>
    <w:rsid w:val="00DC2EAC"/>
    <w:rsid w:val="00DC3697"/>
    <w:rsid w:val="00DC45A2"/>
    <w:rsid w:val="00DC6E09"/>
    <w:rsid w:val="00DC77B7"/>
    <w:rsid w:val="00DC7B13"/>
    <w:rsid w:val="00DD05C6"/>
    <w:rsid w:val="00DD23C6"/>
    <w:rsid w:val="00DD3C60"/>
    <w:rsid w:val="00DD6CA3"/>
    <w:rsid w:val="00DE016C"/>
    <w:rsid w:val="00DE1214"/>
    <w:rsid w:val="00DE1FBC"/>
    <w:rsid w:val="00DE655F"/>
    <w:rsid w:val="00DE72FD"/>
    <w:rsid w:val="00DE7B64"/>
    <w:rsid w:val="00DF026C"/>
    <w:rsid w:val="00DF283C"/>
    <w:rsid w:val="00DF486F"/>
    <w:rsid w:val="00DF6B43"/>
    <w:rsid w:val="00DF7887"/>
    <w:rsid w:val="00E0047E"/>
    <w:rsid w:val="00E01082"/>
    <w:rsid w:val="00E019F4"/>
    <w:rsid w:val="00E02FA4"/>
    <w:rsid w:val="00E043ED"/>
    <w:rsid w:val="00E120E1"/>
    <w:rsid w:val="00E14B93"/>
    <w:rsid w:val="00E15E6C"/>
    <w:rsid w:val="00E161F2"/>
    <w:rsid w:val="00E162D4"/>
    <w:rsid w:val="00E1650B"/>
    <w:rsid w:val="00E16FB8"/>
    <w:rsid w:val="00E27032"/>
    <w:rsid w:val="00E32EAF"/>
    <w:rsid w:val="00E33687"/>
    <w:rsid w:val="00E34DD8"/>
    <w:rsid w:val="00E35D9D"/>
    <w:rsid w:val="00E365BB"/>
    <w:rsid w:val="00E37B6E"/>
    <w:rsid w:val="00E37D7B"/>
    <w:rsid w:val="00E4084D"/>
    <w:rsid w:val="00E41AAF"/>
    <w:rsid w:val="00E43BF7"/>
    <w:rsid w:val="00E4438F"/>
    <w:rsid w:val="00E44863"/>
    <w:rsid w:val="00E44E77"/>
    <w:rsid w:val="00E509BA"/>
    <w:rsid w:val="00E51521"/>
    <w:rsid w:val="00E53396"/>
    <w:rsid w:val="00E546F0"/>
    <w:rsid w:val="00E54F54"/>
    <w:rsid w:val="00E55915"/>
    <w:rsid w:val="00E566BA"/>
    <w:rsid w:val="00E56E85"/>
    <w:rsid w:val="00E57D9D"/>
    <w:rsid w:val="00E60120"/>
    <w:rsid w:val="00E61978"/>
    <w:rsid w:val="00E61C0E"/>
    <w:rsid w:val="00E624EC"/>
    <w:rsid w:val="00E62C77"/>
    <w:rsid w:val="00E63611"/>
    <w:rsid w:val="00E641EC"/>
    <w:rsid w:val="00E70846"/>
    <w:rsid w:val="00E7195E"/>
    <w:rsid w:val="00E721DC"/>
    <w:rsid w:val="00E73673"/>
    <w:rsid w:val="00E74616"/>
    <w:rsid w:val="00E82262"/>
    <w:rsid w:val="00E8537F"/>
    <w:rsid w:val="00E85AD5"/>
    <w:rsid w:val="00E8685B"/>
    <w:rsid w:val="00E9010D"/>
    <w:rsid w:val="00E93A36"/>
    <w:rsid w:val="00E93F38"/>
    <w:rsid w:val="00E943CC"/>
    <w:rsid w:val="00E9636D"/>
    <w:rsid w:val="00EA2277"/>
    <w:rsid w:val="00EA3859"/>
    <w:rsid w:val="00EA42F0"/>
    <w:rsid w:val="00EA554E"/>
    <w:rsid w:val="00EA7400"/>
    <w:rsid w:val="00EA7A0B"/>
    <w:rsid w:val="00EA7E82"/>
    <w:rsid w:val="00EB05A9"/>
    <w:rsid w:val="00EB05CB"/>
    <w:rsid w:val="00EB35B5"/>
    <w:rsid w:val="00EB550C"/>
    <w:rsid w:val="00EB6924"/>
    <w:rsid w:val="00EB6F5E"/>
    <w:rsid w:val="00EC0147"/>
    <w:rsid w:val="00EC206F"/>
    <w:rsid w:val="00EC25F7"/>
    <w:rsid w:val="00EC36BA"/>
    <w:rsid w:val="00EC4A49"/>
    <w:rsid w:val="00EC60DC"/>
    <w:rsid w:val="00ED29BC"/>
    <w:rsid w:val="00ED2C50"/>
    <w:rsid w:val="00ED2D03"/>
    <w:rsid w:val="00ED2E9D"/>
    <w:rsid w:val="00ED6729"/>
    <w:rsid w:val="00ED672F"/>
    <w:rsid w:val="00EE0745"/>
    <w:rsid w:val="00EE0B28"/>
    <w:rsid w:val="00EE156C"/>
    <w:rsid w:val="00EE194E"/>
    <w:rsid w:val="00EE1D80"/>
    <w:rsid w:val="00EE477F"/>
    <w:rsid w:val="00EE750C"/>
    <w:rsid w:val="00EE7D92"/>
    <w:rsid w:val="00EF19BF"/>
    <w:rsid w:val="00EF2BEF"/>
    <w:rsid w:val="00EF3A6E"/>
    <w:rsid w:val="00EF4273"/>
    <w:rsid w:val="00EF5A0B"/>
    <w:rsid w:val="00F00690"/>
    <w:rsid w:val="00F0502E"/>
    <w:rsid w:val="00F051DA"/>
    <w:rsid w:val="00F05E30"/>
    <w:rsid w:val="00F07EED"/>
    <w:rsid w:val="00F103C7"/>
    <w:rsid w:val="00F10E2A"/>
    <w:rsid w:val="00F11D0A"/>
    <w:rsid w:val="00F11E6C"/>
    <w:rsid w:val="00F126CD"/>
    <w:rsid w:val="00F1273C"/>
    <w:rsid w:val="00F1399B"/>
    <w:rsid w:val="00F1692F"/>
    <w:rsid w:val="00F17EBB"/>
    <w:rsid w:val="00F20910"/>
    <w:rsid w:val="00F20DFA"/>
    <w:rsid w:val="00F21871"/>
    <w:rsid w:val="00F218CC"/>
    <w:rsid w:val="00F22313"/>
    <w:rsid w:val="00F250BD"/>
    <w:rsid w:val="00F25D4C"/>
    <w:rsid w:val="00F263C6"/>
    <w:rsid w:val="00F27641"/>
    <w:rsid w:val="00F2793E"/>
    <w:rsid w:val="00F279D4"/>
    <w:rsid w:val="00F30C89"/>
    <w:rsid w:val="00F30FFA"/>
    <w:rsid w:val="00F31A42"/>
    <w:rsid w:val="00F31BCD"/>
    <w:rsid w:val="00F32703"/>
    <w:rsid w:val="00F3538B"/>
    <w:rsid w:val="00F356B2"/>
    <w:rsid w:val="00F359A0"/>
    <w:rsid w:val="00F36C38"/>
    <w:rsid w:val="00F40742"/>
    <w:rsid w:val="00F44D45"/>
    <w:rsid w:val="00F45A8A"/>
    <w:rsid w:val="00F45DC5"/>
    <w:rsid w:val="00F52D1C"/>
    <w:rsid w:val="00F53A33"/>
    <w:rsid w:val="00F57576"/>
    <w:rsid w:val="00F57914"/>
    <w:rsid w:val="00F57BC9"/>
    <w:rsid w:val="00F60F79"/>
    <w:rsid w:val="00F6377E"/>
    <w:rsid w:val="00F63E16"/>
    <w:rsid w:val="00F6409C"/>
    <w:rsid w:val="00F64733"/>
    <w:rsid w:val="00F64A7C"/>
    <w:rsid w:val="00F64F74"/>
    <w:rsid w:val="00F66138"/>
    <w:rsid w:val="00F6696A"/>
    <w:rsid w:val="00F678D3"/>
    <w:rsid w:val="00F67D15"/>
    <w:rsid w:val="00F757D3"/>
    <w:rsid w:val="00F75BE5"/>
    <w:rsid w:val="00F767B7"/>
    <w:rsid w:val="00F8033E"/>
    <w:rsid w:val="00F81293"/>
    <w:rsid w:val="00F81A6F"/>
    <w:rsid w:val="00F81DA3"/>
    <w:rsid w:val="00F82F60"/>
    <w:rsid w:val="00F83B88"/>
    <w:rsid w:val="00F846F6"/>
    <w:rsid w:val="00F869D5"/>
    <w:rsid w:val="00F8742A"/>
    <w:rsid w:val="00F90071"/>
    <w:rsid w:val="00F909DC"/>
    <w:rsid w:val="00F942CF"/>
    <w:rsid w:val="00F94B87"/>
    <w:rsid w:val="00F963A8"/>
    <w:rsid w:val="00FA1ED5"/>
    <w:rsid w:val="00FA2250"/>
    <w:rsid w:val="00FA272E"/>
    <w:rsid w:val="00FA3056"/>
    <w:rsid w:val="00FA3592"/>
    <w:rsid w:val="00FA37AB"/>
    <w:rsid w:val="00FA40BF"/>
    <w:rsid w:val="00FA476A"/>
    <w:rsid w:val="00FA54A4"/>
    <w:rsid w:val="00FA62C1"/>
    <w:rsid w:val="00FA6347"/>
    <w:rsid w:val="00FA7341"/>
    <w:rsid w:val="00FB17C1"/>
    <w:rsid w:val="00FB21F7"/>
    <w:rsid w:val="00FB623C"/>
    <w:rsid w:val="00FB6690"/>
    <w:rsid w:val="00FB70BF"/>
    <w:rsid w:val="00FC054B"/>
    <w:rsid w:val="00FC35F6"/>
    <w:rsid w:val="00FC49AA"/>
    <w:rsid w:val="00FC4F1D"/>
    <w:rsid w:val="00FC5236"/>
    <w:rsid w:val="00FC58F0"/>
    <w:rsid w:val="00FC6B2D"/>
    <w:rsid w:val="00FD0737"/>
    <w:rsid w:val="00FD0F2F"/>
    <w:rsid w:val="00FD0FB7"/>
    <w:rsid w:val="00FD2048"/>
    <w:rsid w:val="00FD3E01"/>
    <w:rsid w:val="00FD6804"/>
    <w:rsid w:val="00FD683E"/>
    <w:rsid w:val="00FD6B92"/>
    <w:rsid w:val="00FE0ABA"/>
    <w:rsid w:val="00FE1663"/>
    <w:rsid w:val="00FE35C7"/>
    <w:rsid w:val="00FE47A4"/>
    <w:rsid w:val="00FE4B8C"/>
    <w:rsid w:val="00FE5067"/>
    <w:rsid w:val="00FE6386"/>
    <w:rsid w:val="00FF171B"/>
    <w:rsid w:val="00FF3199"/>
    <w:rsid w:val="00FF34DA"/>
    <w:rsid w:val="00FF40B4"/>
    <w:rsid w:val="00FF4D65"/>
    <w:rsid w:val="00FF606F"/>
    <w:rsid w:val="00FF71C2"/>
    <w:rsid w:val="00FF7C6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0641"/>
    <o:shapelayout v:ext="edit">
      <o:idmap v:ext="edit" data="1"/>
    </o:shapelayout>
  </w:shapeDefaults>
  <w:decimalSymbol w:val=","/>
  <w:listSeparator w:val=";"/>
  <w14:docId w14:val="0E977411"/>
  <w15:docId w15:val="{4A13E47F-FE77-4B91-84EB-F7F83B654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semiHidden="1" w:uiPriority="9" w:unhideWhenUsed="1"/>
    <w:lsdException w:name="heading 3" w:uiPriority="0"/>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4863"/>
    <w:pPr>
      <w:spacing w:after="120"/>
      <w:ind w:firstLine="709"/>
      <w:jc w:val="both"/>
    </w:pPr>
    <w:rPr>
      <w:sz w:val="24"/>
      <w:lang w:eastAsia="en-US"/>
    </w:rPr>
  </w:style>
  <w:style w:type="paragraph" w:styleId="Heading1">
    <w:name w:val="heading 1"/>
    <w:basedOn w:val="Normal"/>
    <w:next w:val="Normal"/>
    <w:rsid w:val="001240F1"/>
    <w:pPr>
      <w:keepNext/>
      <w:jc w:val="center"/>
      <w:outlineLvl w:val="0"/>
    </w:pPr>
    <w:rPr>
      <w:b/>
      <w:bCs/>
    </w:rPr>
  </w:style>
  <w:style w:type="paragraph" w:styleId="Heading3">
    <w:name w:val="heading 3"/>
    <w:basedOn w:val="Normal"/>
    <w:next w:val="Normal"/>
    <w:rsid w:val="001240F1"/>
    <w:pPr>
      <w:keepNext/>
      <w:spacing w:before="240" w:after="60"/>
      <w:outlineLvl w:val="2"/>
    </w:pPr>
    <w:rPr>
      <w:rFonts w:ascii="Arial" w:hAnsi="Arial"/>
    </w:rPr>
  </w:style>
  <w:style w:type="paragraph" w:styleId="Heading4">
    <w:name w:val="heading 4"/>
    <w:basedOn w:val="Normal"/>
    <w:link w:val="Heading4Char"/>
    <w:uiPriority w:val="9"/>
    <w:rsid w:val="00924EDE"/>
    <w:pPr>
      <w:spacing w:before="100" w:beforeAutospacing="1" w:after="100" w:afterAutospacing="1"/>
      <w:ind w:firstLine="0"/>
      <w:jc w:val="left"/>
      <w:outlineLvl w:val="3"/>
    </w:pPr>
    <w:rPr>
      <w:b/>
      <w:bCs/>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24EDE"/>
    <w:rPr>
      <w:b/>
      <w:bCs/>
      <w:sz w:val="24"/>
      <w:szCs w:val="24"/>
      <w:lang w:val="en-US" w:eastAsia="en-US"/>
    </w:rPr>
  </w:style>
  <w:style w:type="paragraph" w:customStyle="1" w:styleId="izdevumi">
    <w:name w:val="izdevumi"/>
    <w:basedOn w:val="Normal"/>
    <w:qFormat/>
    <w:rsid w:val="00E44863"/>
    <w:pPr>
      <w:widowControl w:val="0"/>
      <w:spacing w:before="120"/>
      <w:ind w:left="567" w:firstLine="0"/>
    </w:pPr>
    <w:rPr>
      <w:i/>
    </w:rPr>
  </w:style>
  <w:style w:type="paragraph" w:customStyle="1" w:styleId="H1">
    <w:name w:val="H1"/>
    <w:rsid w:val="001240F1"/>
    <w:pPr>
      <w:spacing w:after="120"/>
      <w:jc w:val="center"/>
      <w:outlineLvl w:val="0"/>
    </w:pPr>
    <w:rPr>
      <w:b/>
      <w:sz w:val="44"/>
      <w:lang w:eastAsia="en-US"/>
    </w:rPr>
  </w:style>
  <w:style w:type="paragraph" w:customStyle="1" w:styleId="H2">
    <w:name w:val="H2"/>
    <w:rsid w:val="001240F1"/>
    <w:pPr>
      <w:spacing w:after="120"/>
      <w:jc w:val="center"/>
      <w:outlineLvl w:val="1"/>
    </w:pPr>
    <w:rPr>
      <w:b/>
      <w:sz w:val="36"/>
      <w:lang w:eastAsia="en-US"/>
    </w:rPr>
  </w:style>
  <w:style w:type="paragraph" w:customStyle="1" w:styleId="H3">
    <w:name w:val="H3"/>
    <w:rsid w:val="001240F1"/>
    <w:pPr>
      <w:spacing w:after="120"/>
      <w:jc w:val="center"/>
      <w:outlineLvl w:val="2"/>
    </w:pPr>
    <w:rPr>
      <w:b/>
      <w:sz w:val="32"/>
      <w:lang w:eastAsia="en-US"/>
    </w:rPr>
  </w:style>
  <w:style w:type="paragraph" w:customStyle="1" w:styleId="H4">
    <w:name w:val="H4"/>
    <w:rsid w:val="001240F1"/>
    <w:pPr>
      <w:spacing w:after="120"/>
      <w:jc w:val="center"/>
      <w:outlineLvl w:val="3"/>
    </w:pPr>
    <w:rPr>
      <w:b/>
      <w:sz w:val="28"/>
      <w:lang w:eastAsia="en-US"/>
    </w:rPr>
  </w:style>
  <w:style w:type="paragraph" w:customStyle="1" w:styleId="T">
    <w:name w:val="T"/>
    <w:basedOn w:val="Normal"/>
    <w:rsid w:val="001240F1"/>
    <w:pPr>
      <w:ind w:firstLine="0"/>
      <w:jc w:val="center"/>
    </w:pPr>
    <w:rPr>
      <w:b/>
      <w:i/>
    </w:rPr>
  </w:style>
  <w:style w:type="paragraph" w:customStyle="1" w:styleId="Z">
    <w:name w:val="Z"/>
    <w:basedOn w:val="T"/>
    <w:rsid w:val="001240F1"/>
  </w:style>
  <w:style w:type="paragraph" w:styleId="Header">
    <w:name w:val="header"/>
    <w:basedOn w:val="Normal"/>
    <w:link w:val="HeaderChar"/>
    <w:uiPriority w:val="99"/>
    <w:rsid w:val="001240F1"/>
    <w:pPr>
      <w:tabs>
        <w:tab w:val="center" w:pos="4153"/>
        <w:tab w:val="right" w:pos="8306"/>
      </w:tabs>
      <w:spacing w:after="0"/>
      <w:ind w:firstLine="0"/>
    </w:pPr>
  </w:style>
  <w:style w:type="character" w:customStyle="1" w:styleId="HeaderChar">
    <w:name w:val="Header Char"/>
    <w:link w:val="Header"/>
    <w:uiPriority w:val="99"/>
    <w:rsid w:val="00D25509"/>
    <w:rPr>
      <w:sz w:val="24"/>
      <w:lang w:eastAsia="en-US"/>
    </w:rPr>
  </w:style>
  <w:style w:type="paragraph" w:styleId="Footer">
    <w:name w:val="footer"/>
    <w:basedOn w:val="Normal"/>
    <w:link w:val="FooterChar"/>
    <w:rsid w:val="001240F1"/>
    <w:pPr>
      <w:tabs>
        <w:tab w:val="center" w:pos="4153"/>
        <w:tab w:val="right" w:pos="8306"/>
      </w:tabs>
      <w:spacing w:after="0"/>
      <w:ind w:firstLine="0"/>
    </w:pPr>
    <w:rPr>
      <w:sz w:val="20"/>
    </w:rPr>
  </w:style>
  <w:style w:type="character" w:customStyle="1" w:styleId="FooterChar">
    <w:name w:val="Footer Char"/>
    <w:link w:val="Footer"/>
    <w:rsid w:val="00D25509"/>
    <w:rPr>
      <w:lang w:eastAsia="en-US"/>
    </w:rPr>
  </w:style>
  <w:style w:type="character" w:styleId="PageNumber">
    <w:name w:val="page number"/>
    <w:basedOn w:val="DefaultParagraphFont"/>
    <w:semiHidden/>
    <w:rsid w:val="001240F1"/>
  </w:style>
  <w:style w:type="paragraph" w:customStyle="1" w:styleId="programmas">
    <w:name w:val="programmas"/>
    <w:basedOn w:val="Normal"/>
    <w:qFormat/>
    <w:rsid w:val="00E44863"/>
    <w:pPr>
      <w:widowControl w:val="0"/>
      <w:spacing w:before="240"/>
      <w:ind w:firstLine="0"/>
      <w:jc w:val="center"/>
    </w:pPr>
    <w:rPr>
      <w:b/>
    </w:rPr>
  </w:style>
  <w:style w:type="paragraph" w:customStyle="1" w:styleId="samazpaliel">
    <w:name w:val="samaz_paliel"/>
    <w:basedOn w:val="Normal"/>
    <w:qFormat/>
    <w:rsid w:val="00E44863"/>
    <w:pPr>
      <w:widowControl w:val="0"/>
      <w:ind w:firstLine="0"/>
    </w:pPr>
    <w:rPr>
      <w:b/>
      <w:u w:val="single"/>
    </w:rPr>
  </w:style>
  <w:style w:type="paragraph" w:customStyle="1" w:styleId="tabteksts">
    <w:name w:val="tab_teksts"/>
    <w:basedOn w:val="Normal"/>
    <w:qFormat/>
    <w:rsid w:val="00E44863"/>
    <w:pPr>
      <w:spacing w:after="0"/>
      <w:ind w:firstLine="0"/>
      <w:jc w:val="left"/>
    </w:pPr>
    <w:rPr>
      <w:sz w:val="18"/>
    </w:rPr>
  </w:style>
  <w:style w:type="paragraph" w:styleId="FootnoteText">
    <w:name w:val="footnote text"/>
    <w:basedOn w:val="Normal"/>
    <w:link w:val="FootnoteTextChar"/>
    <w:semiHidden/>
    <w:rsid w:val="001240F1"/>
    <w:pPr>
      <w:spacing w:after="0"/>
      <w:ind w:firstLine="0"/>
      <w:jc w:val="left"/>
    </w:pPr>
  </w:style>
  <w:style w:type="character" w:customStyle="1" w:styleId="FootnoteTextChar">
    <w:name w:val="Footnote Text Char"/>
    <w:link w:val="FootnoteText"/>
    <w:semiHidden/>
    <w:rsid w:val="00924EDE"/>
    <w:rPr>
      <w:sz w:val="24"/>
      <w:lang w:eastAsia="en-US"/>
    </w:rPr>
  </w:style>
  <w:style w:type="paragraph" w:styleId="BalloonText">
    <w:name w:val="Balloon Text"/>
    <w:basedOn w:val="Normal"/>
    <w:link w:val="BalloonTextChar"/>
    <w:uiPriority w:val="99"/>
    <w:semiHidden/>
    <w:rsid w:val="001240F1"/>
    <w:rPr>
      <w:rFonts w:ascii="Tahoma" w:hAnsi="Tahoma"/>
      <w:sz w:val="16"/>
      <w:szCs w:val="16"/>
    </w:rPr>
  </w:style>
  <w:style w:type="character" w:customStyle="1" w:styleId="BalloonTextChar">
    <w:name w:val="Balloon Text Char"/>
    <w:link w:val="BalloonText"/>
    <w:uiPriority w:val="99"/>
    <w:semiHidden/>
    <w:rsid w:val="00D25509"/>
    <w:rPr>
      <w:rFonts w:ascii="Tahoma" w:hAnsi="Tahoma" w:cs="Tahoma"/>
      <w:sz w:val="16"/>
      <w:szCs w:val="16"/>
      <w:lang w:eastAsia="en-US"/>
    </w:rPr>
  </w:style>
  <w:style w:type="paragraph" w:customStyle="1" w:styleId="Balonteksts1">
    <w:name w:val="Balonteksts1"/>
    <w:basedOn w:val="Normal"/>
    <w:semiHidden/>
    <w:rsid w:val="001240F1"/>
    <w:rPr>
      <w:rFonts w:ascii="Tahoma" w:hAnsi="Tahoma" w:cs="Tahoma"/>
      <w:sz w:val="16"/>
      <w:szCs w:val="16"/>
    </w:rPr>
  </w:style>
  <w:style w:type="paragraph" w:customStyle="1" w:styleId="Tabuluvirsraksti">
    <w:name w:val="Tabulu_virsraksti"/>
    <w:basedOn w:val="Normal"/>
    <w:qFormat/>
    <w:rsid w:val="0000724E"/>
    <w:pPr>
      <w:ind w:firstLine="0"/>
      <w:jc w:val="center"/>
    </w:pPr>
  </w:style>
  <w:style w:type="paragraph" w:customStyle="1" w:styleId="Default">
    <w:name w:val="Default"/>
    <w:rsid w:val="00BC545A"/>
    <w:pPr>
      <w:autoSpaceDE w:val="0"/>
      <w:autoSpaceDN w:val="0"/>
      <w:adjustRightInd w:val="0"/>
    </w:pPr>
    <w:rPr>
      <w:color w:val="000000"/>
      <w:sz w:val="24"/>
      <w:szCs w:val="24"/>
    </w:rPr>
  </w:style>
  <w:style w:type="paragraph" w:customStyle="1" w:styleId="cipari">
    <w:name w:val="cipari"/>
    <w:basedOn w:val="Normal"/>
    <w:link w:val="cipariChar"/>
    <w:qFormat/>
    <w:rsid w:val="00665875"/>
    <w:pPr>
      <w:ind w:left="720" w:hanging="720"/>
      <w:contextualSpacing/>
    </w:pPr>
    <w:rPr>
      <w:bCs/>
    </w:rPr>
  </w:style>
  <w:style w:type="character" w:customStyle="1" w:styleId="cipariChar">
    <w:name w:val="cipari Char"/>
    <w:link w:val="cipari"/>
    <w:locked/>
    <w:rsid w:val="00665875"/>
    <w:rPr>
      <w:bCs/>
      <w:sz w:val="24"/>
      <w:lang w:eastAsia="en-US"/>
    </w:rPr>
  </w:style>
  <w:style w:type="paragraph" w:customStyle="1" w:styleId="Funkcijasbold">
    <w:name w:val="Funkcijas_bold"/>
    <w:basedOn w:val="funkcijas"/>
    <w:uiPriority w:val="99"/>
    <w:qFormat/>
    <w:rsid w:val="00E44863"/>
    <w:rPr>
      <w:b/>
      <w:u w:val="none"/>
    </w:rPr>
  </w:style>
  <w:style w:type="paragraph" w:customStyle="1" w:styleId="funkcijas">
    <w:name w:val="funkcijas"/>
    <w:basedOn w:val="Normal"/>
    <w:qFormat/>
    <w:rsid w:val="00E44863"/>
    <w:pPr>
      <w:ind w:firstLine="0"/>
    </w:pPr>
    <w:rPr>
      <w:bCs/>
      <w:u w:val="single"/>
    </w:rPr>
  </w:style>
  <w:style w:type="paragraph" w:customStyle="1" w:styleId="paraksti">
    <w:name w:val="paraksti"/>
    <w:basedOn w:val="Normal"/>
    <w:qFormat/>
    <w:rsid w:val="00E44863"/>
    <w:pPr>
      <w:ind w:firstLine="0"/>
    </w:pPr>
    <w:rPr>
      <w:i/>
      <w:sz w:val="18"/>
    </w:rPr>
  </w:style>
  <w:style w:type="paragraph" w:customStyle="1" w:styleId="cipariiturp">
    <w:name w:val="ciparii_turp"/>
    <w:basedOn w:val="cipari"/>
    <w:qFormat/>
    <w:rsid w:val="00E44863"/>
    <w:pPr>
      <w:ind w:left="709" w:firstLine="0"/>
    </w:pPr>
    <w:rPr>
      <w:bCs w:val="0"/>
    </w:rPr>
  </w:style>
  <w:style w:type="table" w:styleId="TableGrid">
    <w:name w:val="Table Grid"/>
    <w:basedOn w:val="TableNormal"/>
    <w:uiPriority w:val="59"/>
    <w:rsid w:val="00924ED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924EDE"/>
    <w:rPr>
      <w:sz w:val="16"/>
      <w:szCs w:val="16"/>
    </w:rPr>
  </w:style>
  <w:style w:type="paragraph" w:styleId="CommentText">
    <w:name w:val="annotation text"/>
    <w:basedOn w:val="Normal"/>
    <w:link w:val="CommentTextChar"/>
    <w:uiPriority w:val="99"/>
    <w:semiHidden/>
    <w:unhideWhenUsed/>
    <w:rsid w:val="00924EDE"/>
    <w:pPr>
      <w:spacing w:after="200" w:line="276" w:lineRule="auto"/>
      <w:ind w:firstLine="0"/>
      <w:jc w:val="left"/>
    </w:pPr>
    <w:rPr>
      <w:rFonts w:ascii="Calibri" w:eastAsia="Calibri" w:hAnsi="Calibri"/>
      <w:sz w:val="20"/>
      <w:lang w:val="en-US"/>
    </w:rPr>
  </w:style>
  <w:style w:type="character" w:customStyle="1" w:styleId="CommentTextChar">
    <w:name w:val="Comment Text Char"/>
    <w:basedOn w:val="DefaultParagraphFont"/>
    <w:link w:val="CommentText"/>
    <w:uiPriority w:val="99"/>
    <w:semiHidden/>
    <w:rsid w:val="00924EDE"/>
    <w:rPr>
      <w:rFonts w:ascii="Calibri" w:eastAsia="Calibri" w:hAnsi="Calibri"/>
      <w:lang w:val="en-US" w:eastAsia="en-US"/>
    </w:rPr>
  </w:style>
  <w:style w:type="paragraph" w:styleId="CommentSubject">
    <w:name w:val="annotation subject"/>
    <w:basedOn w:val="CommentText"/>
    <w:next w:val="CommentText"/>
    <w:link w:val="CommentSubjectChar"/>
    <w:uiPriority w:val="99"/>
    <w:semiHidden/>
    <w:unhideWhenUsed/>
    <w:rsid w:val="00924EDE"/>
    <w:rPr>
      <w:b/>
      <w:bCs/>
    </w:rPr>
  </w:style>
  <w:style w:type="character" w:customStyle="1" w:styleId="CommentSubjectChar">
    <w:name w:val="Comment Subject Char"/>
    <w:basedOn w:val="CommentTextChar"/>
    <w:link w:val="CommentSubject"/>
    <w:uiPriority w:val="99"/>
    <w:semiHidden/>
    <w:rsid w:val="00924EDE"/>
    <w:rPr>
      <w:rFonts w:ascii="Calibri" w:eastAsia="Calibri" w:hAnsi="Calibri"/>
      <w:b/>
      <w:bCs/>
      <w:lang w:val="en-US" w:eastAsia="en-US"/>
    </w:rPr>
  </w:style>
  <w:style w:type="character" w:styleId="FootnoteReference">
    <w:name w:val="footnote reference"/>
    <w:uiPriority w:val="99"/>
    <w:semiHidden/>
    <w:unhideWhenUsed/>
    <w:rsid w:val="00924EDE"/>
    <w:rPr>
      <w:vertAlign w:val="superscript"/>
    </w:rPr>
  </w:style>
  <w:style w:type="paragraph" w:styleId="BodyTextIndent">
    <w:name w:val="Body Text Indent"/>
    <w:basedOn w:val="Normal"/>
    <w:link w:val="BodyTextIndentChar"/>
    <w:uiPriority w:val="99"/>
    <w:semiHidden/>
    <w:unhideWhenUsed/>
    <w:rsid w:val="00924EDE"/>
    <w:pPr>
      <w:spacing w:line="276" w:lineRule="auto"/>
      <w:ind w:left="283" w:firstLine="0"/>
      <w:jc w:val="left"/>
    </w:pPr>
    <w:rPr>
      <w:rFonts w:ascii="Calibri" w:eastAsia="Calibri" w:hAnsi="Calibri"/>
      <w:sz w:val="22"/>
      <w:szCs w:val="22"/>
      <w:lang w:val="en-US"/>
    </w:rPr>
  </w:style>
  <w:style w:type="character" w:customStyle="1" w:styleId="BodyTextIndentChar">
    <w:name w:val="Body Text Indent Char"/>
    <w:basedOn w:val="DefaultParagraphFont"/>
    <w:link w:val="BodyTextIndent"/>
    <w:uiPriority w:val="99"/>
    <w:semiHidden/>
    <w:rsid w:val="00924EDE"/>
    <w:rPr>
      <w:rFonts w:ascii="Calibri" w:eastAsia="Calibri" w:hAnsi="Calibri"/>
      <w:sz w:val="22"/>
      <w:szCs w:val="22"/>
      <w:lang w:val="en-US" w:eastAsia="en-US"/>
    </w:rPr>
  </w:style>
  <w:style w:type="character" w:styleId="Hyperlink">
    <w:name w:val="Hyperlink"/>
    <w:uiPriority w:val="99"/>
    <w:semiHidden/>
    <w:unhideWhenUsed/>
    <w:rsid w:val="00924EDE"/>
    <w:rPr>
      <w:color w:val="0000FF"/>
      <w:u w:val="single"/>
    </w:rPr>
  </w:style>
  <w:style w:type="paragraph" w:styleId="ListParagraph">
    <w:name w:val="List Paragraph"/>
    <w:aliases w:val="2,Numbered Para 1,Dot pt,No Spacing1,List Paragraph Char Char Char,Indicator Text,List Paragraph1,Bullet 1,Bullet Points,MAIN CONTENT,IFCL - List Paragraph,List Paragraph12,OBC Bullet,F5 List Paragraph,Colorful List - Accent 11,Strip,Bu"/>
    <w:basedOn w:val="Normal"/>
    <w:link w:val="ListParagraphChar"/>
    <w:uiPriority w:val="34"/>
    <w:qFormat/>
    <w:rsid w:val="004E7703"/>
    <w:pPr>
      <w:ind w:left="720"/>
      <w:contextualSpacing/>
    </w:pPr>
  </w:style>
  <w:style w:type="paragraph" w:styleId="NormalWeb">
    <w:name w:val="Normal (Web)"/>
    <w:basedOn w:val="Normal"/>
    <w:uiPriority w:val="99"/>
    <w:semiHidden/>
    <w:unhideWhenUsed/>
    <w:rsid w:val="00347C12"/>
    <w:pPr>
      <w:spacing w:before="100" w:beforeAutospacing="1" w:after="100" w:afterAutospacing="1"/>
      <w:ind w:firstLine="0"/>
      <w:jc w:val="left"/>
    </w:pPr>
    <w:rPr>
      <w:rFonts w:eastAsiaTheme="minorEastAsia"/>
      <w:szCs w:val="24"/>
      <w:lang w:eastAsia="lv-LV"/>
    </w:rPr>
  </w:style>
  <w:style w:type="character" w:styleId="FollowedHyperlink">
    <w:name w:val="FollowedHyperlink"/>
    <w:basedOn w:val="DefaultParagraphFont"/>
    <w:uiPriority w:val="99"/>
    <w:semiHidden/>
    <w:unhideWhenUsed/>
    <w:rsid w:val="00C16620"/>
    <w:rPr>
      <w:color w:val="954F72"/>
      <w:u w:val="single"/>
    </w:rPr>
  </w:style>
  <w:style w:type="paragraph" w:customStyle="1" w:styleId="msonormal0">
    <w:name w:val="msonormal"/>
    <w:basedOn w:val="Normal"/>
    <w:rsid w:val="00C16620"/>
    <w:pPr>
      <w:spacing w:before="100" w:beforeAutospacing="1" w:after="100" w:afterAutospacing="1"/>
      <w:ind w:firstLine="0"/>
      <w:jc w:val="left"/>
    </w:pPr>
    <w:rPr>
      <w:szCs w:val="24"/>
      <w:lang w:eastAsia="lv-LV"/>
    </w:rPr>
  </w:style>
  <w:style w:type="paragraph" w:customStyle="1" w:styleId="xl66">
    <w:name w:val="xl66"/>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67">
    <w:name w:val="xl67"/>
    <w:basedOn w:val="Normal"/>
    <w:rsid w:val="00C16620"/>
    <w:pPr>
      <w:spacing w:before="100" w:beforeAutospacing="1" w:after="100" w:afterAutospacing="1"/>
      <w:ind w:firstLine="0"/>
      <w:jc w:val="left"/>
    </w:pPr>
    <w:rPr>
      <w:szCs w:val="24"/>
      <w:lang w:eastAsia="lv-LV"/>
    </w:rPr>
  </w:style>
  <w:style w:type="paragraph" w:customStyle="1" w:styleId="xl68">
    <w:name w:val="xl68"/>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Cs w:val="24"/>
      <w:lang w:eastAsia="lv-LV"/>
    </w:rPr>
  </w:style>
  <w:style w:type="paragraph" w:customStyle="1" w:styleId="xl69">
    <w:name w:val="xl69"/>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70">
    <w:name w:val="xl70"/>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top"/>
    </w:pPr>
    <w:rPr>
      <w:szCs w:val="24"/>
      <w:lang w:eastAsia="lv-LV"/>
    </w:rPr>
  </w:style>
  <w:style w:type="paragraph" w:customStyle="1" w:styleId="xl71">
    <w:name w:val="xl71"/>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Cs w:val="24"/>
      <w:lang w:eastAsia="lv-LV"/>
    </w:rPr>
  </w:style>
  <w:style w:type="paragraph" w:customStyle="1" w:styleId="xl72">
    <w:name w:val="xl72"/>
    <w:basedOn w:val="Normal"/>
    <w:rsid w:val="00C16620"/>
    <w:pPr>
      <w:pBdr>
        <w:top w:val="single" w:sz="4" w:space="0" w:color="auto"/>
        <w:bottom w:val="single" w:sz="4" w:space="0" w:color="auto"/>
        <w:right w:val="single" w:sz="4" w:space="0" w:color="auto"/>
      </w:pBdr>
      <w:spacing w:before="100" w:beforeAutospacing="1" w:after="100" w:afterAutospacing="1"/>
      <w:ind w:firstLine="0"/>
      <w:jc w:val="left"/>
      <w:textAlignment w:val="center"/>
    </w:pPr>
    <w:rPr>
      <w:szCs w:val="24"/>
      <w:lang w:eastAsia="lv-LV"/>
    </w:rPr>
  </w:style>
  <w:style w:type="paragraph" w:customStyle="1" w:styleId="xl73">
    <w:name w:val="xl73"/>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74">
    <w:name w:val="xl74"/>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75">
    <w:name w:val="xl75"/>
    <w:basedOn w:val="Normal"/>
    <w:rsid w:val="00C16620"/>
    <w:pPr>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ind w:firstLine="0"/>
      <w:jc w:val="center"/>
      <w:textAlignment w:val="center"/>
    </w:pPr>
    <w:rPr>
      <w:b/>
      <w:bCs/>
      <w:szCs w:val="24"/>
      <w:lang w:eastAsia="lv-LV"/>
    </w:rPr>
  </w:style>
  <w:style w:type="paragraph" w:customStyle="1" w:styleId="xl76">
    <w:name w:val="xl76"/>
    <w:basedOn w:val="Normal"/>
    <w:rsid w:val="00C16620"/>
    <w:pPr>
      <w:spacing w:before="100" w:beforeAutospacing="1" w:after="100" w:afterAutospacing="1"/>
      <w:ind w:firstLine="0"/>
      <w:jc w:val="left"/>
    </w:pPr>
    <w:rPr>
      <w:szCs w:val="24"/>
      <w:lang w:eastAsia="lv-LV"/>
    </w:rPr>
  </w:style>
  <w:style w:type="paragraph" w:customStyle="1" w:styleId="xl77">
    <w:name w:val="xl77"/>
    <w:basedOn w:val="Normal"/>
    <w:rsid w:val="00C16620"/>
    <w:pPr>
      <w:spacing w:before="100" w:beforeAutospacing="1" w:after="100" w:afterAutospacing="1"/>
      <w:ind w:firstLine="0"/>
      <w:jc w:val="center"/>
      <w:textAlignment w:val="center"/>
    </w:pPr>
    <w:rPr>
      <w:sz w:val="22"/>
      <w:szCs w:val="22"/>
      <w:lang w:eastAsia="lv-LV"/>
    </w:rPr>
  </w:style>
  <w:style w:type="paragraph" w:customStyle="1" w:styleId="xl78">
    <w:name w:val="xl78"/>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lang w:eastAsia="lv-LV"/>
    </w:rPr>
  </w:style>
  <w:style w:type="paragraph" w:customStyle="1" w:styleId="xl79">
    <w:name w:val="xl79"/>
    <w:basedOn w:val="Normal"/>
    <w:rsid w:val="00C16620"/>
    <w:pPr>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ind w:firstLine="0"/>
      <w:jc w:val="center"/>
      <w:textAlignment w:val="center"/>
    </w:pPr>
    <w:rPr>
      <w:b/>
      <w:bCs/>
      <w:szCs w:val="24"/>
      <w:lang w:eastAsia="lv-LV"/>
    </w:rPr>
  </w:style>
  <w:style w:type="paragraph" w:customStyle="1" w:styleId="xl80">
    <w:name w:val="xl80"/>
    <w:basedOn w:val="Normal"/>
    <w:rsid w:val="00C16620"/>
    <w:pPr>
      <w:pBdr>
        <w:top w:val="single" w:sz="4" w:space="0" w:color="auto"/>
        <w:left w:val="single" w:sz="4" w:space="0" w:color="auto"/>
        <w:bottom w:val="single" w:sz="4" w:space="0" w:color="auto"/>
        <w:right w:val="single" w:sz="4" w:space="0" w:color="auto"/>
      </w:pBdr>
      <w:shd w:val="clear" w:color="000000" w:fill="70AD47"/>
      <w:spacing w:before="100" w:beforeAutospacing="1" w:after="100" w:afterAutospacing="1"/>
      <w:ind w:firstLine="0"/>
      <w:jc w:val="right"/>
      <w:textAlignment w:val="center"/>
    </w:pPr>
    <w:rPr>
      <w:b/>
      <w:bCs/>
      <w:szCs w:val="24"/>
      <w:lang w:eastAsia="lv-LV"/>
    </w:rPr>
  </w:style>
  <w:style w:type="paragraph" w:customStyle="1" w:styleId="xl81">
    <w:name w:val="xl81"/>
    <w:basedOn w:val="Normal"/>
    <w:rsid w:val="00C16620"/>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left"/>
    </w:pPr>
    <w:rPr>
      <w:b/>
      <w:bCs/>
      <w:szCs w:val="24"/>
      <w:lang w:eastAsia="lv-LV"/>
    </w:rPr>
  </w:style>
  <w:style w:type="paragraph" w:customStyle="1" w:styleId="xl82">
    <w:name w:val="xl82"/>
    <w:basedOn w:val="Normal"/>
    <w:rsid w:val="00C16620"/>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left"/>
      <w:textAlignment w:val="center"/>
    </w:pPr>
    <w:rPr>
      <w:b/>
      <w:bCs/>
      <w:szCs w:val="24"/>
      <w:lang w:eastAsia="lv-LV"/>
    </w:rPr>
  </w:style>
  <w:style w:type="paragraph" w:customStyle="1" w:styleId="xl83">
    <w:name w:val="xl83"/>
    <w:basedOn w:val="Normal"/>
    <w:rsid w:val="00C16620"/>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left"/>
      <w:textAlignment w:val="center"/>
    </w:pPr>
    <w:rPr>
      <w:b/>
      <w:bCs/>
      <w:szCs w:val="24"/>
      <w:lang w:eastAsia="lv-LV"/>
    </w:rPr>
  </w:style>
  <w:style w:type="paragraph" w:customStyle="1" w:styleId="xl84">
    <w:name w:val="xl84"/>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szCs w:val="24"/>
      <w:lang w:eastAsia="lv-LV"/>
    </w:rPr>
  </w:style>
  <w:style w:type="paragraph" w:customStyle="1" w:styleId="xl85">
    <w:name w:val="xl85"/>
    <w:basedOn w:val="Normal"/>
    <w:rsid w:val="00C16620"/>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sz w:val="22"/>
      <w:szCs w:val="22"/>
      <w:lang w:eastAsia="lv-LV"/>
    </w:rPr>
  </w:style>
  <w:style w:type="paragraph" w:customStyle="1" w:styleId="xl86">
    <w:name w:val="xl86"/>
    <w:basedOn w:val="Normal"/>
    <w:rsid w:val="00C16620"/>
    <w:pPr>
      <w:pBdr>
        <w:top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87">
    <w:name w:val="xl87"/>
    <w:basedOn w:val="Normal"/>
    <w:rsid w:val="00C16620"/>
    <w:pPr>
      <w:pBdr>
        <w:top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88">
    <w:name w:val="xl88"/>
    <w:basedOn w:val="Normal"/>
    <w:rsid w:val="00C16620"/>
    <w:pPr>
      <w:pBdr>
        <w:top w:val="single" w:sz="4" w:space="0" w:color="auto"/>
        <w:bottom w:val="single" w:sz="4" w:space="0" w:color="auto"/>
        <w:right w:val="single" w:sz="4" w:space="0" w:color="auto"/>
      </w:pBdr>
      <w:spacing w:before="100" w:beforeAutospacing="1" w:after="100" w:afterAutospacing="1"/>
      <w:ind w:firstLine="0"/>
      <w:textAlignment w:val="center"/>
    </w:pPr>
    <w:rPr>
      <w:szCs w:val="24"/>
      <w:lang w:eastAsia="lv-LV"/>
    </w:rPr>
  </w:style>
  <w:style w:type="paragraph" w:customStyle="1" w:styleId="xl89">
    <w:name w:val="xl89"/>
    <w:basedOn w:val="Normal"/>
    <w:rsid w:val="00C16620"/>
    <w:pPr>
      <w:pBdr>
        <w:top w:val="single" w:sz="4" w:space="0" w:color="auto"/>
        <w:bottom w:val="single" w:sz="4" w:space="0" w:color="auto"/>
        <w:right w:val="single" w:sz="4" w:space="0" w:color="auto"/>
      </w:pBdr>
      <w:spacing w:before="100" w:beforeAutospacing="1" w:after="100" w:afterAutospacing="1"/>
      <w:ind w:firstLine="0"/>
      <w:jc w:val="left"/>
      <w:textAlignment w:val="center"/>
    </w:pPr>
    <w:rPr>
      <w:szCs w:val="24"/>
      <w:lang w:eastAsia="lv-LV"/>
    </w:rPr>
  </w:style>
  <w:style w:type="paragraph" w:customStyle="1" w:styleId="xl90">
    <w:name w:val="xl90"/>
    <w:basedOn w:val="Normal"/>
    <w:rsid w:val="00C16620"/>
    <w:pPr>
      <w:pBdr>
        <w:top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91">
    <w:name w:val="xl91"/>
    <w:basedOn w:val="Normal"/>
    <w:rsid w:val="00C16620"/>
    <w:pPr>
      <w:pBdr>
        <w:top w:val="single" w:sz="4" w:space="0" w:color="auto"/>
        <w:bottom w:val="single" w:sz="4" w:space="0" w:color="auto"/>
      </w:pBdr>
      <w:shd w:val="clear" w:color="000000" w:fill="70AD47"/>
      <w:spacing w:before="100" w:beforeAutospacing="1" w:after="100" w:afterAutospacing="1"/>
      <w:ind w:firstLine="0"/>
      <w:jc w:val="right"/>
      <w:textAlignment w:val="center"/>
    </w:pPr>
    <w:rPr>
      <w:b/>
      <w:bCs/>
      <w:szCs w:val="24"/>
      <w:lang w:eastAsia="lv-LV"/>
    </w:rPr>
  </w:style>
  <w:style w:type="paragraph" w:customStyle="1" w:styleId="xl92">
    <w:name w:val="xl92"/>
    <w:basedOn w:val="Normal"/>
    <w:rsid w:val="00C16620"/>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right"/>
    </w:pPr>
    <w:rPr>
      <w:b/>
      <w:bCs/>
      <w:szCs w:val="24"/>
      <w:lang w:eastAsia="lv-LV"/>
    </w:rPr>
  </w:style>
  <w:style w:type="paragraph" w:customStyle="1" w:styleId="xl93">
    <w:name w:val="xl93"/>
    <w:basedOn w:val="Normal"/>
    <w:rsid w:val="00C16620"/>
    <w:pPr>
      <w:pBdr>
        <w:top w:val="single" w:sz="4" w:space="0" w:color="auto"/>
        <w:bottom w:val="single" w:sz="4" w:space="0" w:color="auto"/>
      </w:pBdr>
      <w:spacing w:before="100" w:beforeAutospacing="1" w:after="100" w:afterAutospacing="1"/>
      <w:ind w:firstLine="0"/>
      <w:jc w:val="left"/>
    </w:pPr>
    <w:rPr>
      <w:szCs w:val="24"/>
      <w:lang w:eastAsia="lv-LV"/>
    </w:rPr>
  </w:style>
  <w:style w:type="paragraph" w:customStyle="1" w:styleId="xl94">
    <w:name w:val="xl94"/>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szCs w:val="24"/>
      <w:lang w:eastAsia="lv-LV"/>
    </w:rPr>
  </w:style>
  <w:style w:type="paragraph" w:customStyle="1" w:styleId="xl95">
    <w:name w:val="xl95"/>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Cs w:val="24"/>
      <w:lang w:eastAsia="lv-LV"/>
    </w:rPr>
  </w:style>
  <w:style w:type="paragraph" w:customStyle="1" w:styleId="xl96">
    <w:name w:val="xl96"/>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szCs w:val="24"/>
      <w:lang w:eastAsia="lv-LV"/>
    </w:rPr>
  </w:style>
  <w:style w:type="paragraph" w:customStyle="1" w:styleId="xl97">
    <w:name w:val="xl97"/>
    <w:basedOn w:val="Normal"/>
    <w:rsid w:val="00C16620"/>
    <w:pPr>
      <w:pBdr>
        <w:top w:val="single" w:sz="4" w:space="0" w:color="auto"/>
        <w:bottom w:val="single" w:sz="4" w:space="0" w:color="auto"/>
        <w:right w:val="single" w:sz="4" w:space="0" w:color="auto"/>
      </w:pBdr>
      <w:spacing w:before="100" w:beforeAutospacing="1" w:after="100" w:afterAutospacing="1"/>
      <w:ind w:firstLine="0"/>
      <w:textAlignment w:val="top"/>
    </w:pPr>
    <w:rPr>
      <w:szCs w:val="24"/>
      <w:lang w:eastAsia="lv-LV"/>
    </w:rPr>
  </w:style>
  <w:style w:type="paragraph" w:customStyle="1" w:styleId="xl98">
    <w:name w:val="xl98"/>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99">
    <w:name w:val="xl99"/>
    <w:basedOn w:val="Normal"/>
    <w:rsid w:val="00C16620"/>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right"/>
      <w:textAlignment w:val="center"/>
    </w:pPr>
    <w:rPr>
      <w:b/>
      <w:bCs/>
      <w:szCs w:val="24"/>
      <w:lang w:eastAsia="lv-LV"/>
    </w:rPr>
  </w:style>
  <w:style w:type="paragraph" w:customStyle="1" w:styleId="xl100">
    <w:name w:val="xl100"/>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lang w:eastAsia="lv-LV"/>
    </w:rPr>
  </w:style>
  <w:style w:type="paragraph" w:customStyle="1" w:styleId="xl101">
    <w:name w:val="xl101"/>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02">
    <w:name w:val="xl102"/>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103">
    <w:name w:val="xl103"/>
    <w:basedOn w:val="Normal"/>
    <w:rsid w:val="00C16620"/>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left"/>
      <w:textAlignment w:val="center"/>
    </w:pPr>
    <w:rPr>
      <w:b/>
      <w:bCs/>
      <w:szCs w:val="24"/>
      <w:lang w:eastAsia="lv-LV"/>
    </w:rPr>
  </w:style>
  <w:style w:type="paragraph" w:customStyle="1" w:styleId="xl104">
    <w:name w:val="xl104"/>
    <w:basedOn w:val="Normal"/>
    <w:rsid w:val="00C16620"/>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lang w:eastAsia="lv-LV"/>
    </w:rPr>
  </w:style>
  <w:style w:type="paragraph" w:customStyle="1" w:styleId="xl105">
    <w:name w:val="xl105"/>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06">
    <w:name w:val="xl106"/>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107">
    <w:name w:val="xl107"/>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lang w:eastAsia="lv-LV"/>
    </w:rPr>
  </w:style>
  <w:style w:type="paragraph" w:customStyle="1" w:styleId="xl108">
    <w:name w:val="xl108"/>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lang w:eastAsia="lv-LV"/>
    </w:rPr>
  </w:style>
  <w:style w:type="paragraph" w:customStyle="1" w:styleId="xl109">
    <w:name w:val="xl109"/>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10">
    <w:name w:val="xl110"/>
    <w:basedOn w:val="Normal"/>
    <w:rsid w:val="00C16620"/>
    <w:pPr>
      <w:pBdr>
        <w:top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11">
    <w:name w:val="xl111"/>
    <w:basedOn w:val="Normal"/>
    <w:rsid w:val="00C16620"/>
    <w:pPr>
      <w:pBdr>
        <w:top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12">
    <w:name w:val="xl112"/>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szCs w:val="24"/>
      <w:lang w:eastAsia="lv-LV"/>
    </w:rPr>
  </w:style>
  <w:style w:type="paragraph" w:customStyle="1" w:styleId="xl113">
    <w:name w:val="xl113"/>
    <w:basedOn w:val="Normal"/>
    <w:rsid w:val="00C16620"/>
    <w:pPr>
      <w:spacing w:before="100" w:beforeAutospacing="1" w:after="100" w:afterAutospacing="1"/>
      <w:ind w:firstLine="0"/>
      <w:jc w:val="left"/>
    </w:pPr>
    <w:rPr>
      <w:color w:val="C00000"/>
      <w:sz w:val="16"/>
      <w:szCs w:val="16"/>
      <w:lang w:eastAsia="lv-LV"/>
    </w:rPr>
  </w:style>
  <w:style w:type="paragraph" w:customStyle="1" w:styleId="xl114">
    <w:name w:val="xl114"/>
    <w:basedOn w:val="Normal"/>
    <w:rsid w:val="00C16620"/>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left"/>
    </w:pPr>
    <w:rPr>
      <w:b/>
      <w:bCs/>
      <w:szCs w:val="24"/>
      <w:lang w:eastAsia="lv-LV"/>
    </w:rPr>
  </w:style>
  <w:style w:type="paragraph" w:customStyle="1" w:styleId="xl115">
    <w:name w:val="xl115"/>
    <w:basedOn w:val="Normal"/>
    <w:rsid w:val="00C16620"/>
    <w:pPr>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ind w:firstLine="0"/>
      <w:jc w:val="center"/>
      <w:textAlignment w:val="center"/>
    </w:pPr>
    <w:rPr>
      <w:sz w:val="22"/>
      <w:szCs w:val="22"/>
      <w:lang w:eastAsia="lv-LV"/>
    </w:rPr>
  </w:style>
  <w:style w:type="paragraph" w:customStyle="1" w:styleId="xl116">
    <w:name w:val="xl116"/>
    <w:basedOn w:val="Normal"/>
    <w:rsid w:val="00C16620"/>
    <w:pPr>
      <w:pBdr>
        <w:top w:val="single" w:sz="4" w:space="0" w:color="auto"/>
        <w:left w:val="single" w:sz="4" w:space="0" w:color="auto"/>
        <w:bottom w:val="single" w:sz="4" w:space="0" w:color="auto"/>
      </w:pBdr>
      <w:shd w:val="clear" w:color="000000" w:fill="70AD47"/>
      <w:spacing w:before="100" w:beforeAutospacing="1" w:after="100" w:afterAutospacing="1"/>
      <w:ind w:firstLine="0"/>
      <w:jc w:val="center"/>
      <w:textAlignment w:val="center"/>
    </w:pPr>
    <w:rPr>
      <w:sz w:val="22"/>
      <w:szCs w:val="22"/>
      <w:lang w:eastAsia="lv-LV"/>
    </w:rPr>
  </w:style>
  <w:style w:type="paragraph" w:customStyle="1" w:styleId="xl117">
    <w:name w:val="xl117"/>
    <w:basedOn w:val="Normal"/>
    <w:rsid w:val="00C16620"/>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center"/>
    </w:pPr>
    <w:rPr>
      <w:szCs w:val="24"/>
      <w:lang w:eastAsia="lv-LV"/>
    </w:rPr>
  </w:style>
  <w:style w:type="paragraph" w:customStyle="1" w:styleId="xl118">
    <w:name w:val="xl118"/>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szCs w:val="24"/>
      <w:lang w:eastAsia="lv-LV"/>
    </w:rPr>
  </w:style>
  <w:style w:type="paragraph" w:customStyle="1" w:styleId="xl119">
    <w:name w:val="xl119"/>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Cs w:val="24"/>
      <w:lang w:eastAsia="lv-LV"/>
    </w:rPr>
  </w:style>
  <w:style w:type="paragraph" w:customStyle="1" w:styleId="xl120">
    <w:name w:val="xl120"/>
    <w:basedOn w:val="Normal"/>
    <w:rsid w:val="00C16620"/>
    <w:pPr>
      <w:pBdr>
        <w:top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121">
    <w:name w:val="xl121"/>
    <w:basedOn w:val="Normal"/>
    <w:rsid w:val="00C16620"/>
    <w:pPr>
      <w:pBdr>
        <w:top w:val="single" w:sz="4" w:space="0" w:color="auto"/>
        <w:bottom w:val="single" w:sz="4" w:space="0" w:color="auto"/>
        <w:right w:val="single" w:sz="4" w:space="0" w:color="auto"/>
      </w:pBdr>
      <w:spacing w:before="100" w:beforeAutospacing="1" w:after="100" w:afterAutospacing="1"/>
      <w:ind w:firstLine="0"/>
      <w:jc w:val="left"/>
      <w:textAlignment w:val="center"/>
    </w:pPr>
    <w:rPr>
      <w:szCs w:val="24"/>
      <w:lang w:eastAsia="lv-LV"/>
    </w:rPr>
  </w:style>
  <w:style w:type="paragraph" w:customStyle="1" w:styleId="xl122">
    <w:name w:val="xl122"/>
    <w:basedOn w:val="Normal"/>
    <w:rsid w:val="00C16620"/>
    <w:pPr>
      <w:pBdr>
        <w:top w:val="single" w:sz="4" w:space="0" w:color="auto"/>
        <w:bottom w:val="single" w:sz="4" w:space="0" w:color="auto"/>
        <w:right w:val="single" w:sz="4" w:space="0" w:color="auto"/>
      </w:pBdr>
      <w:shd w:val="clear" w:color="000000" w:fill="E2EFDA"/>
      <w:spacing w:before="100" w:beforeAutospacing="1" w:after="100" w:afterAutospacing="1"/>
      <w:ind w:firstLine="0"/>
      <w:jc w:val="right"/>
    </w:pPr>
    <w:rPr>
      <w:b/>
      <w:bCs/>
      <w:szCs w:val="24"/>
      <w:lang w:eastAsia="lv-LV"/>
    </w:rPr>
  </w:style>
  <w:style w:type="paragraph" w:customStyle="1" w:styleId="xl123">
    <w:name w:val="xl123"/>
    <w:basedOn w:val="Normal"/>
    <w:rsid w:val="00C16620"/>
    <w:pPr>
      <w:pBdr>
        <w:top w:val="single" w:sz="4" w:space="0" w:color="auto"/>
        <w:left w:val="single" w:sz="4" w:space="0" w:color="auto"/>
        <w:bottom w:val="single" w:sz="4" w:space="0" w:color="auto"/>
      </w:pBdr>
      <w:shd w:val="clear" w:color="000000" w:fill="E2EFDA"/>
      <w:spacing w:before="100" w:beforeAutospacing="1" w:after="100" w:afterAutospacing="1"/>
      <w:ind w:firstLine="0"/>
      <w:jc w:val="right"/>
    </w:pPr>
    <w:rPr>
      <w:b/>
      <w:bCs/>
      <w:szCs w:val="24"/>
      <w:lang w:eastAsia="lv-LV"/>
    </w:rPr>
  </w:style>
  <w:style w:type="paragraph" w:customStyle="1" w:styleId="xl124">
    <w:name w:val="xl124"/>
    <w:basedOn w:val="Normal"/>
    <w:rsid w:val="00C16620"/>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right"/>
    </w:pPr>
    <w:rPr>
      <w:b/>
      <w:bCs/>
      <w:szCs w:val="24"/>
      <w:lang w:eastAsia="lv-LV"/>
    </w:rPr>
  </w:style>
  <w:style w:type="paragraph" w:customStyle="1" w:styleId="xl125">
    <w:name w:val="xl125"/>
    <w:basedOn w:val="Normal"/>
    <w:rsid w:val="00C16620"/>
    <w:pPr>
      <w:pBdr>
        <w:top w:val="single" w:sz="4" w:space="0" w:color="auto"/>
        <w:left w:val="single" w:sz="4" w:space="0" w:color="auto"/>
        <w:bottom w:val="single" w:sz="4" w:space="0" w:color="auto"/>
      </w:pBdr>
      <w:shd w:val="clear" w:color="000000" w:fill="E2EFDA"/>
      <w:spacing w:before="100" w:beforeAutospacing="1" w:after="100" w:afterAutospacing="1"/>
      <w:ind w:firstLine="0"/>
      <w:jc w:val="right"/>
    </w:pPr>
    <w:rPr>
      <w:b/>
      <w:bCs/>
      <w:szCs w:val="24"/>
      <w:lang w:eastAsia="lv-LV"/>
    </w:rPr>
  </w:style>
  <w:style w:type="paragraph" w:customStyle="1" w:styleId="xl126">
    <w:name w:val="xl126"/>
    <w:basedOn w:val="Normal"/>
    <w:rsid w:val="00C16620"/>
    <w:pPr>
      <w:pBdr>
        <w:top w:val="single" w:sz="4" w:space="0" w:color="auto"/>
        <w:bottom w:val="single" w:sz="4" w:space="0" w:color="auto"/>
        <w:right w:val="single" w:sz="4" w:space="0" w:color="auto"/>
      </w:pBdr>
      <w:shd w:val="clear" w:color="000000" w:fill="E2EFDA"/>
      <w:spacing w:before="100" w:beforeAutospacing="1" w:after="100" w:afterAutospacing="1"/>
      <w:ind w:firstLine="0"/>
      <w:jc w:val="right"/>
    </w:pPr>
    <w:rPr>
      <w:b/>
      <w:bCs/>
      <w:szCs w:val="24"/>
      <w:lang w:eastAsia="lv-LV"/>
    </w:rPr>
  </w:style>
  <w:style w:type="paragraph" w:customStyle="1" w:styleId="xl127">
    <w:name w:val="xl127"/>
    <w:basedOn w:val="Normal"/>
    <w:rsid w:val="00C16620"/>
    <w:pPr>
      <w:pBdr>
        <w:top w:val="single" w:sz="4" w:space="0" w:color="auto"/>
        <w:left w:val="single" w:sz="4" w:space="0" w:color="auto"/>
        <w:bottom w:val="single" w:sz="4" w:space="0" w:color="auto"/>
      </w:pBdr>
      <w:shd w:val="clear" w:color="000000" w:fill="E2EFDA"/>
      <w:spacing w:before="100" w:beforeAutospacing="1" w:after="100" w:afterAutospacing="1"/>
      <w:ind w:firstLine="0"/>
      <w:jc w:val="right"/>
      <w:textAlignment w:val="center"/>
    </w:pPr>
    <w:rPr>
      <w:b/>
      <w:bCs/>
      <w:szCs w:val="24"/>
      <w:lang w:eastAsia="lv-LV"/>
    </w:rPr>
  </w:style>
  <w:style w:type="paragraph" w:customStyle="1" w:styleId="xl128">
    <w:name w:val="xl128"/>
    <w:basedOn w:val="Normal"/>
    <w:rsid w:val="00C16620"/>
    <w:pPr>
      <w:pBdr>
        <w:top w:val="single" w:sz="4" w:space="0" w:color="auto"/>
        <w:bottom w:val="single" w:sz="4" w:space="0" w:color="auto"/>
        <w:right w:val="single" w:sz="4" w:space="0" w:color="auto"/>
      </w:pBdr>
      <w:shd w:val="clear" w:color="000000" w:fill="E2EFDA"/>
      <w:spacing w:before="100" w:beforeAutospacing="1" w:after="100" w:afterAutospacing="1"/>
      <w:ind w:firstLine="0"/>
      <w:jc w:val="right"/>
      <w:textAlignment w:val="center"/>
    </w:pPr>
    <w:rPr>
      <w:b/>
      <w:bCs/>
      <w:szCs w:val="24"/>
      <w:lang w:eastAsia="lv-LV"/>
    </w:rPr>
  </w:style>
  <w:style w:type="paragraph" w:customStyle="1" w:styleId="xl129">
    <w:name w:val="xl129"/>
    <w:basedOn w:val="Normal"/>
    <w:rsid w:val="00C16620"/>
    <w:pPr>
      <w:pBdr>
        <w:top w:val="single" w:sz="4" w:space="0" w:color="auto"/>
        <w:left w:val="single" w:sz="4" w:space="0" w:color="auto"/>
        <w:bottom w:val="single" w:sz="4" w:space="0" w:color="auto"/>
      </w:pBdr>
      <w:shd w:val="clear" w:color="000000" w:fill="E2EFDA"/>
      <w:spacing w:before="100" w:beforeAutospacing="1" w:after="100" w:afterAutospacing="1"/>
      <w:ind w:firstLine="0"/>
      <w:jc w:val="right"/>
      <w:textAlignment w:val="center"/>
    </w:pPr>
    <w:rPr>
      <w:b/>
      <w:bCs/>
      <w:szCs w:val="24"/>
      <w:lang w:eastAsia="lv-LV"/>
    </w:rPr>
  </w:style>
  <w:style w:type="paragraph" w:customStyle="1" w:styleId="xl130">
    <w:name w:val="xl130"/>
    <w:basedOn w:val="Normal"/>
    <w:rsid w:val="00C16620"/>
    <w:pPr>
      <w:pBdr>
        <w:top w:val="single" w:sz="4" w:space="0" w:color="auto"/>
        <w:bottom w:val="single" w:sz="4" w:space="0" w:color="auto"/>
        <w:right w:val="single" w:sz="4" w:space="0" w:color="auto"/>
      </w:pBdr>
      <w:shd w:val="clear" w:color="000000" w:fill="E2EFDA"/>
      <w:spacing w:before="100" w:beforeAutospacing="1" w:after="100" w:afterAutospacing="1"/>
      <w:ind w:firstLine="0"/>
      <w:jc w:val="right"/>
      <w:textAlignment w:val="center"/>
    </w:pPr>
    <w:rPr>
      <w:b/>
      <w:bCs/>
      <w:szCs w:val="24"/>
      <w:lang w:eastAsia="lv-LV"/>
    </w:rPr>
  </w:style>
  <w:style w:type="paragraph" w:customStyle="1" w:styleId="xl131">
    <w:name w:val="xl131"/>
    <w:basedOn w:val="Normal"/>
    <w:rsid w:val="00C16620"/>
    <w:pPr>
      <w:pBdr>
        <w:top w:val="single" w:sz="4" w:space="0" w:color="auto"/>
        <w:left w:val="single" w:sz="4" w:space="0" w:color="auto"/>
        <w:bottom w:val="single" w:sz="4" w:space="0" w:color="auto"/>
      </w:pBdr>
      <w:shd w:val="clear" w:color="000000" w:fill="E2EFDA"/>
      <w:spacing w:before="100" w:beforeAutospacing="1" w:after="100" w:afterAutospacing="1"/>
      <w:ind w:firstLine="0"/>
      <w:jc w:val="right"/>
    </w:pPr>
    <w:rPr>
      <w:b/>
      <w:bCs/>
      <w:szCs w:val="24"/>
      <w:lang w:eastAsia="lv-LV"/>
    </w:rPr>
  </w:style>
  <w:style w:type="paragraph" w:customStyle="1" w:styleId="xl132">
    <w:name w:val="xl132"/>
    <w:basedOn w:val="Normal"/>
    <w:rsid w:val="00C16620"/>
    <w:pPr>
      <w:pBdr>
        <w:top w:val="single" w:sz="4" w:space="0" w:color="auto"/>
        <w:bottom w:val="single" w:sz="4" w:space="0" w:color="auto"/>
        <w:right w:val="single" w:sz="4" w:space="0" w:color="auto"/>
      </w:pBdr>
      <w:shd w:val="clear" w:color="000000" w:fill="E2EFDA"/>
      <w:spacing w:before="100" w:beforeAutospacing="1" w:after="100" w:afterAutospacing="1"/>
      <w:ind w:firstLine="0"/>
      <w:jc w:val="right"/>
    </w:pPr>
    <w:rPr>
      <w:b/>
      <w:bCs/>
      <w:szCs w:val="24"/>
      <w:lang w:eastAsia="lv-LV"/>
    </w:rPr>
  </w:style>
  <w:style w:type="paragraph" w:customStyle="1" w:styleId="xl133">
    <w:name w:val="xl133"/>
    <w:basedOn w:val="Normal"/>
    <w:rsid w:val="00C16620"/>
    <w:pPr>
      <w:pBdr>
        <w:top w:val="single" w:sz="4" w:space="0" w:color="auto"/>
        <w:left w:val="single" w:sz="4" w:space="0" w:color="auto"/>
        <w:bottom w:val="single" w:sz="4" w:space="0" w:color="auto"/>
      </w:pBdr>
      <w:shd w:val="clear" w:color="000000" w:fill="E2EFDA"/>
      <w:spacing w:before="100" w:beforeAutospacing="1" w:after="100" w:afterAutospacing="1"/>
      <w:ind w:firstLine="0"/>
      <w:jc w:val="right"/>
      <w:textAlignment w:val="center"/>
    </w:pPr>
    <w:rPr>
      <w:b/>
      <w:bCs/>
      <w:szCs w:val="24"/>
      <w:lang w:eastAsia="lv-LV"/>
    </w:rPr>
  </w:style>
  <w:style w:type="paragraph" w:customStyle="1" w:styleId="xl134">
    <w:name w:val="xl134"/>
    <w:basedOn w:val="Normal"/>
    <w:rsid w:val="00C16620"/>
    <w:pPr>
      <w:pBdr>
        <w:top w:val="single" w:sz="4" w:space="0" w:color="auto"/>
        <w:bottom w:val="single" w:sz="4" w:space="0" w:color="auto"/>
        <w:right w:val="single" w:sz="4" w:space="0" w:color="auto"/>
      </w:pBdr>
      <w:shd w:val="clear" w:color="000000" w:fill="E2EFDA"/>
      <w:spacing w:before="100" w:beforeAutospacing="1" w:after="100" w:afterAutospacing="1"/>
      <w:ind w:firstLine="0"/>
      <w:jc w:val="right"/>
      <w:textAlignment w:val="center"/>
    </w:pPr>
    <w:rPr>
      <w:b/>
      <w:bCs/>
      <w:szCs w:val="24"/>
      <w:lang w:eastAsia="lv-LV"/>
    </w:rPr>
  </w:style>
  <w:style w:type="paragraph" w:customStyle="1" w:styleId="xl135">
    <w:name w:val="xl135"/>
    <w:basedOn w:val="Normal"/>
    <w:rsid w:val="00C16620"/>
    <w:pPr>
      <w:pBdr>
        <w:top w:val="single" w:sz="4" w:space="0" w:color="auto"/>
        <w:left w:val="single" w:sz="4" w:space="0" w:color="auto"/>
        <w:bottom w:val="single" w:sz="4" w:space="0" w:color="auto"/>
      </w:pBdr>
      <w:shd w:val="clear" w:color="000000" w:fill="E2EFDA"/>
      <w:spacing w:before="100" w:beforeAutospacing="1" w:after="100" w:afterAutospacing="1"/>
      <w:ind w:firstLine="0"/>
      <w:jc w:val="right"/>
      <w:textAlignment w:val="top"/>
    </w:pPr>
    <w:rPr>
      <w:b/>
      <w:bCs/>
      <w:szCs w:val="24"/>
      <w:lang w:eastAsia="lv-LV"/>
    </w:rPr>
  </w:style>
  <w:style w:type="paragraph" w:customStyle="1" w:styleId="xl136">
    <w:name w:val="xl136"/>
    <w:basedOn w:val="Normal"/>
    <w:rsid w:val="00C16620"/>
    <w:pPr>
      <w:pBdr>
        <w:top w:val="single" w:sz="4" w:space="0" w:color="auto"/>
        <w:bottom w:val="single" w:sz="4" w:space="0" w:color="auto"/>
        <w:right w:val="single" w:sz="4" w:space="0" w:color="auto"/>
      </w:pBdr>
      <w:shd w:val="clear" w:color="000000" w:fill="E2EFDA"/>
      <w:spacing w:before="100" w:beforeAutospacing="1" w:after="100" w:afterAutospacing="1"/>
      <w:ind w:firstLine="0"/>
      <w:jc w:val="right"/>
      <w:textAlignment w:val="top"/>
    </w:pPr>
    <w:rPr>
      <w:b/>
      <w:bCs/>
      <w:szCs w:val="24"/>
      <w:lang w:eastAsia="lv-LV"/>
    </w:rPr>
  </w:style>
  <w:style w:type="paragraph" w:customStyle="1" w:styleId="xl137">
    <w:name w:val="xl137"/>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top"/>
    </w:pPr>
    <w:rPr>
      <w:szCs w:val="24"/>
      <w:lang w:eastAsia="lv-LV"/>
    </w:rPr>
  </w:style>
  <w:style w:type="paragraph" w:customStyle="1" w:styleId="xl138">
    <w:name w:val="xl138"/>
    <w:basedOn w:val="Normal"/>
    <w:rsid w:val="00C16620"/>
    <w:pPr>
      <w:pBdr>
        <w:top w:val="single" w:sz="4" w:space="0" w:color="auto"/>
        <w:bottom w:val="single" w:sz="4" w:space="0" w:color="auto"/>
        <w:right w:val="single" w:sz="4" w:space="0" w:color="auto"/>
      </w:pBdr>
      <w:spacing w:before="100" w:beforeAutospacing="1" w:after="100" w:afterAutospacing="1"/>
      <w:ind w:firstLine="0"/>
      <w:textAlignment w:val="top"/>
    </w:pPr>
    <w:rPr>
      <w:szCs w:val="24"/>
      <w:lang w:eastAsia="lv-LV"/>
    </w:rPr>
  </w:style>
  <w:style w:type="paragraph" w:customStyle="1" w:styleId="xl139">
    <w:name w:val="xl139"/>
    <w:basedOn w:val="Normal"/>
    <w:rsid w:val="00C16620"/>
    <w:pPr>
      <w:pBdr>
        <w:top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40">
    <w:name w:val="xl140"/>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41">
    <w:name w:val="xl141"/>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42">
    <w:name w:val="xl142"/>
    <w:basedOn w:val="Normal"/>
    <w:rsid w:val="00470B76"/>
    <w:pPr>
      <w:pBdr>
        <w:top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character" w:customStyle="1" w:styleId="ListParagraphChar">
    <w:name w:val="List Paragraph Char"/>
    <w:aliases w:val="2 Char,Numbered Para 1 Char,Dot pt Char,No Spacing1 Char,List Paragraph Char Char Char Char,Indicator Text Char,List Paragraph1 Char,Bullet 1 Char,Bullet Points Char,MAIN CONTENT Char,IFCL - List Paragraph Char,List Paragraph12 Char"/>
    <w:link w:val="ListParagraph"/>
    <w:uiPriority w:val="34"/>
    <w:qFormat/>
    <w:locked/>
    <w:rsid w:val="00094180"/>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333276">
      <w:bodyDiv w:val="1"/>
      <w:marLeft w:val="0"/>
      <w:marRight w:val="0"/>
      <w:marTop w:val="0"/>
      <w:marBottom w:val="0"/>
      <w:divBdr>
        <w:top w:val="none" w:sz="0" w:space="0" w:color="auto"/>
        <w:left w:val="none" w:sz="0" w:space="0" w:color="auto"/>
        <w:bottom w:val="none" w:sz="0" w:space="0" w:color="auto"/>
        <w:right w:val="none" w:sz="0" w:space="0" w:color="auto"/>
      </w:divBdr>
    </w:div>
    <w:div w:id="67505966">
      <w:bodyDiv w:val="1"/>
      <w:marLeft w:val="0"/>
      <w:marRight w:val="0"/>
      <w:marTop w:val="0"/>
      <w:marBottom w:val="0"/>
      <w:divBdr>
        <w:top w:val="none" w:sz="0" w:space="0" w:color="auto"/>
        <w:left w:val="none" w:sz="0" w:space="0" w:color="auto"/>
        <w:bottom w:val="none" w:sz="0" w:space="0" w:color="auto"/>
        <w:right w:val="none" w:sz="0" w:space="0" w:color="auto"/>
      </w:divBdr>
    </w:div>
    <w:div w:id="117768637">
      <w:bodyDiv w:val="1"/>
      <w:marLeft w:val="0"/>
      <w:marRight w:val="0"/>
      <w:marTop w:val="0"/>
      <w:marBottom w:val="0"/>
      <w:divBdr>
        <w:top w:val="none" w:sz="0" w:space="0" w:color="auto"/>
        <w:left w:val="none" w:sz="0" w:space="0" w:color="auto"/>
        <w:bottom w:val="none" w:sz="0" w:space="0" w:color="auto"/>
        <w:right w:val="none" w:sz="0" w:space="0" w:color="auto"/>
      </w:divBdr>
    </w:div>
    <w:div w:id="125970095">
      <w:bodyDiv w:val="1"/>
      <w:marLeft w:val="0"/>
      <w:marRight w:val="0"/>
      <w:marTop w:val="0"/>
      <w:marBottom w:val="0"/>
      <w:divBdr>
        <w:top w:val="none" w:sz="0" w:space="0" w:color="auto"/>
        <w:left w:val="none" w:sz="0" w:space="0" w:color="auto"/>
        <w:bottom w:val="none" w:sz="0" w:space="0" w:color="auto"/>
        <w:right w:val="none" w:sz="0" w:space="0" w:color="auto"/>
      </w:divBdr>
    </w:div>
    <w:div w:id="248124726">
      <w:bodyDiv w:val="1"/>
      <w:marLeft w:val="0"/>
      <w:marRight w:val="0"/>
      <w:marTop w:val="0"/>
      <w:marBottom w:val="0"/>
      <w:divBdr>
        <w:top w:val="none" w:sz="0" w:space="0" w:color="auto"/>
        <w:left w:val="none" w:sz="0" w:space="0" w:color="auto"/>
        <w:bottom w:val="none" w:sz="0" w:space="0" w:color="auto"/>
        <w:right w:val="none" w:sz="0" w:space="0" w:color="auto"/>
      </w:divBdr>
    </w:div>
    <w:div w:id="332492186">
      <w:bodyDiv w:val="1"/>
      <w:marLeft w:val="0"/>
      <w:marRight w:val="0"/>
      <w:marTop w:val="0"/>
      <w:marBottom w:val="0"/>
      <w:divBdr>
        <w:top w:val="none" w:sz="0" w:space="0" w:color="auto"/>
        <w:left w:val="none" w:sz="0" w:space="0" w:color="auto"/>
        <w:bottom w:val="none" w:sz="0" w:space="0" w:color="auto"/>
        <w:right w:val="none" w:sz="0" w:space="0" w:color="auto"/>
      </w:divBdr>
    </w:div>
    <w:div w:id="386102501">
      <w:bodyDiv w:val="1"/>
      <w:marLeft w:val="0"/>
      <w:marRight w:val="0"/>
      <w:marTop w:val="0"/>
      <w:marBottom w:val="0"/>
      <w:divBdr>
        <w:top w:val="none" w:sz="0" w:space="0" w:color="auto"/>
        <w:left w:val="none" w:sz="0" w:space="0" w:color="auto"/>
        <w:bottom w:val="none" w:sz="0" w:space="0" w:color="auto"/>
        <w:right w:val="none" w:sz="0" w:space="0" w:color="auto"/>
      </w:divBdr>
    </w:div>
    <w:div w:id="423301393">
      <w:bodyDiv w:val="1"/>
      <w:marLeft w:val="0"/>
      <w:marRight w:val="0"/>
      <w:marTop w:val="0"/>
      <w:marBottom w:val="0"/>
      <w:divBdr>
        <w:top w:val="none" w:sz="0" w:space="0" w:color="auto"/>
        <w:left w:val="none" w:sz="0" w:space="0" w:color="auto"/>
        <w:bottom w:val="none" w:sz="0" w:space="0" w:color="auto"/>
        <w:right w:val="none" w:sz="0" w:space="0" w:color="auto"/>
      </w:divBdr>
    </w:div>
    <w:div w:id="522399507">
      <w:bodyDiv w:val="1"/>
      <w:marLeft w:val="0"/>
      <w:marRight w:val="0"/>
      <w:marTop w:val="0"/>
      <w:marBottom w:val="0"/>
      <w:divBdr>
        <w:top w:val="none" w:sz="0" w:space="0" w:color="auto"/>
        <w:left w:val="none" w:sz="0" w:space="0" w:color="auto"/>
        <w:bottom w:val="none" w:sz="0" w:space="0" w:color="auto"/>
        <w:right w:val="none" w:sz="0" w:space="0" w:color="auto"/>
      </w:divBdr>
    </w:div>
    <w:div w:id="596452129">
      <w:bodyDiv w:val="1"/>
      <w:marLeft w:val="0"/>
      <w:marRight w:val="0"/>
      <w:marTop w:val="0"/>
      <w:marBottom w:val="0"/>
      <w:divBdr>
        <w:top w:val="none" w:sz="0" w:space="0" w:color="auto"/>
        <w:left w:val="none" w:sz="0" w:space="0" w:color="auto"/>
        <w:bottom w:val="none" w:sz="0" w:space="0" w:color="auto"/>
        <w:right w:val="none" w:sz="0" w:space="0" w:color="auto"/>
      </w:divBdr>
    </w:div>
    <w:div w:id="634407035">
      <w:bodyDiv w:val="1"/>
      <w:marLeft w:val="0"/>
      <w:marRight w:val="0"/>
      <w:marTop w:val="0"/>
      <w:marBottom w:val="0"/>
      <w:divBdr>
        <w:top w:val="none" w:sz="0" w:space="0" w:color="auto"/>
        <w:left w:val="none" w:sz="0" w:space="0" w:color="auto"/>
        <w:bottom w:val="none" w:sz="0" w:space="0" w:color="auto"/>
        <w:right w:val="none" w:sz="0" w:space="0" w:color="auto"/>
      </w:divBdr>
    </w:div>
    <w:div w:id="656686995">
      <w:bodyDiv w:val="1"/>
      <w:marLeft w:val="0"/>
      <w:marRight w:val="0"/>
      <w:marTop w:val="0"/>
      <w:marBottom w:val="0"/>
      <w:divBdr>
        <w:top w:val="none" w:sz="0" w:space="0" w:color="auto"/>
        <w:left w:val="none" w:sz="0" w:space="0" w:color="auto"/>
        <w:bottom w:val="none" w:sz="0" w:space="0" w:color="auto"/>
        <w:right w:val="none" w:sz="0" w:space="0" w:color="auto"/>
      </w:divBdr>
    </w:div>
    <w:div w:id="763496809">
      <w:bodyDiv w:val="1"/>
      <w:marLeft w:val="0"/>
      <w:marRight w:val="0"/>
      <w:marTop w:val="0"/>
      <w:marBottom w:val="0"/>
      <w:divBdr>
        <w:top w:val="none" w:sz="0" w:space="0" w:color="auto"/>
        <w:left w:val="none" w:sz="0" w:space="0" w:color="auto"/>
        <w:bottom w:val="none" w:sz="0" w:space="0" w:color="auto"/>
        <w:right w:val="none" w:sz="0" w:space="0" w:color="auto"/>
      </w:divBdr>
    </w:div>
    <w:div w:id="766774578">
      <w:bodyDiv w:val="1"/>
      <w:marLeft w:val="0"/>
      <w:marRight w:val="0"/>
      <w:marTop w:val="0"/>
      <w:marBottom w:val="0"/>
      <w:divBdr>
        <w:top w:val="none" w:sz="0" w:space="0" w:color="auto"/>
        <w:left w:val="none" w:sz="0" w:space="0" w:color="auto"/>
        <w:bottom w:val="none" w:sz="0" w:space="0" w:color="auto"/>
        <w:right w:val="none" w:sz="0" w:space="0" w:color="auto"/>
      </w:divBdr>
    </w:div>
    <w:div w:id="844592865">
      <w:bodyDiv w:val="1"/>
      <w:marLeft w:val="0"/>
      <w:marRight w:val="0"/>
      <w:marTop w:val="0"/>
      <w:marBottom w:val="0"/>
      <w:divBdr>
        <w:top w:val="none" w:sz="0" w:space="0" w:color="auto"/>
        <w:left w:val="none" w:sz="0" w:space="0" w:color="auto"/>
        <w:bottom w:val="none" w:sz="0" w:space="0" w:color="auto"/>
        <w:right w:val="none" w:sz="0" w:space="0" w:color="auto"/>
      </w:divBdr>
    </w:div>
    <w:div w:id="845558174">
      <w:bodyDiv w:val="1"/>
      <w:marLeft w:val="0"/>
      <w:marRight w:val="0"/>
      <w:marTop w:val="0"/>
      <w:marBottom w:val="0"/>
      <w:divBdr>
        <w:top w:val="none" w:sz="0" w:space="0" w:color="auto"/>
        <w:left w:val="none" w:sz="0" w:space="0" w:color="auto"/>
        <w:bottom w:val="none" w:sz="0" w:space="0" w:color="auto"/>
        <w:right w:val="none" w:sz="0" w:space="0" w:color="auto"/>
      </w:divBdr>
    </w:div>
    <w:div w:id="879051968">
      <w:bodyDiv w:val="1"/>
      <w:marLeft w:val="0"/>
      <w:marRight w:val="0"/>
      <w:marTop w:val="0"/>
      <w:marBottom w:val="0"/>
      <w:divBdr>
        <w:top w:val="none" w:sz="0" w:space="0" w:color="auto"/>
        <w:left w:val="none" w:sz="0" w:space="0" w:color="auto"/>
        <w:bottom w:val="none" w:sz="0" w:space="0" w:color="auto"/>
        <w:right w:val="none" w:sz="0" w:space="0" w:color="auto"/>
      </w:divBdr>
    </w:div>
    <w:div w:id="998115924">
      <w:bodyDiv w:val="1"/>
      <w:marLeft w:val="0"/>
      <w:marRight w:val="0"/>
      <w:marTop w:val="0"/>
      <w:marBottom w:val="0"/>
      <w:divBdr>
        <w:top w:val="none" w:sz="0" w:space="0" w:color="auto"/>
        <w:left w:val="none" w:sz="0" w:space="0" w:color="auto"/>
        <w:bottom w:val="none" w:sz="0" w:space="0" w:color="auto"/>
        <w:right w:val="none" w:sz="0" w:space="0" w:color="auto"/>
      </w:divBdr>
    </w:div>
    <w:div w:id="1051225954">
      <w:bodyDiv w:val="1"/>
      <w:marLeft w:val="0"/>
      <w:marRight w:val="0"/>
      <w:marTop w:val="0"/>
      <w:marBottom w:val="0"/>
      <w:divBdr>
        <w:top w:val="none" w:sz="0" w:space="0" w:color="auto"/>
        <w:left w:val="none" w:sz="0" w:space="0" w:color="auto"/>
        <w:bottom w:val="none" w:sz="0" w:space="0" w:color="auto"/>
        <w:right w:val="none" w:sz="0" w:space="0" w:color="auto"/>
      </w:divBdr>
    </w:div>
    <w:div w:id="1059671929">
      <w:bodyDiv w:val="1"/>
      <w:marLeft w:val="0"/>
      <w:marRight w:val="0"/>
      <w:marTop w:val="0"/>
      <w:marBottom w:val="0"/>
      <w:divBdr>
        <w:top w:val="none" w:sz="0" w:space="0" w:color="auto"/>
        <w:left w:val="none" w:sz="0" w:space="0" w:color="auto"/>
        <w:bottom w:val="none" w:sz="0" w:space="0" w:color="auto"/>
        <w:right w:val="none" w:sz="0" w:space="0" w:color="auto"/>
      </w:divBdr>
    </w:div>
    <w:div w:id="1070544071">
      <w:bodyDiv w:val="1"/>
      <w:marLeft w:val="0"/>
      <w:marRight w:val="0"/>
      <w:marTop w:val="0"/>
      <w:marBottom w:val="0"/>
      <w:divBdr>
        <w:top w:val="none" w:sz="0" w:space="0" w:color="auto"/>
        <w:left w:val="none" w:sz="0" w:space="0" w:color="auto"/>
        <w:bottom w:val="none" w:sz="0" w:space="0" w:color="auto"/>
        <w:right w:val="none" w:sz="0" w:space="0" w:color="auto"/>
      </w:divBdr>
    </w:div>
    <w:div w:id="1072463251">
      <w:bodyDiv w:val="1"/>
      <w:marLeft w:val="0"/>
      <w:marRight w:val="0"/>
      <w:marTop w:val="0"/>
      <w:marBottom w:val="0"/>
      <w:divBdr>
        <w:top w:val="none" w:sz="0" w:space="0" w:color="auto"/>
        <w:left w:val="none" w:sz="0" w:space="0" w:color="auto"/>
        <w:bottom w:val="none" w:sz="0" w:space="0" w:color="auto"/>
        <w:right w:val="none" w:sz="0" w:space="0" w:color="auto"/>
      </w:divBdr>
    </w:div>
    <w:div w:id="1082531478">
      <w:bodyDiv w:val="1"/>
      <w:marLeft w:val="0"/>
      <w:marRight w:val="0"/>
      <w:marTop w:val="0"/>
      <w:marBottom w:val="0"/>
      <w:divBdr>
        <w:top w:val="none" w:sz="0" w:space="0" w:color="auto"/>
        <w:left w:val="none" w:sz="0" w:space="0" w:color="auto"/>
        <w:bottom w:val="none" w:sz="0" w:space="0" w:color="auto"/>
        <w:right w:val="none" w:sz="0" w:space="0" w:color="auto"/>
      </w:divBdr>
    </w:div>
    <w:div w:id="1188525030">
      <w:bodyDiv w:val="1"/>
      <w:marLeft w:val="0"/>
      <w:marRight w:val="0"/>
      <w:marTop w:val="0"/>
      <w:marBottom w:val="0"/>
      <w:divBdr>
        <w:top w:val="none" w:sz="0" w:space="0" w:color="auto"/>
        <w:left w:val="none" w:sz="0" w:space="0" w:color="auto"/>
        <w:bottom w:val="none" w:sz="0" w:space="0" w:color="auto"/>
        <w:right w:val="none" w:sz="0" w:space="0" w:color="auto"/>
      </w:divBdr>
    </w:div>
    <w:div w:id="1340159371">
      <w:bodyDiv w:val="1"/>
      <w:marLeft w:val="0"/>
      <w:marRight w:val="0"/>
      <w:marTop w:val="0"/>
      <w:marBottom w:val="0"/>
      <w:divBdr>
        <w:top w:val="none" w:sz="0" w:space="0" w:color="auto"/>
        <w:left w:val="none" w:sz="0" w:space="0" w:color="auto"/>
        <w:bottom w:val="none" w:sz="0" w:space="0" w:color="auto"/>
        <w:right w:val="none" w:sz="0" w:space="0" w:color="auto"/>
      </w:divBdr>
    </w:div>
    <w:div w:id="1386679724">
      <w:bodyDiv w:val="1"/>
      <w:marLeft w:val="0"/>
      <w:marRight w:val="0"/>
      <w:marTop w:val="0"/>
      <w:marBottom w:val="0"/>
      <w:divBdr>
        <w:top w:val="none" w:sz="0" w:space="0" w:color="auto"/>
        <w:left w:val="none" w:sz="0" w:space="0" w:color="auto"/>
        <w:bottom w:val="none" w:sz="0" w:space="0" w:color="auto"/>
        <w:right w:val="none" w:sz="0" w:space="0" w:color="auto"/>
      </w:divBdr>
    </w:div>
    <w:div w:id="1428891761">
      <w:bodyDiv w:val="1"/>
      <w:marLeft w:val="0"/>
      <w:marRight w:val="0"/>
      <w:marTop w:val="0"/>
      <w:marBottom w:val="0"/>
      <w:divBdr>
        <w:top w:val="none" w:sz="0" w:space="0" w:color="auto"/>
        <w:left w:val="none" w:sz="0" w:space="0" w:color="auto"/>
        <w:bottom w:val="none" w:sz="0" w:space="0" w:color="auto"/>
        <w:right w:val="none" w:sz="0" w:space="0" w:color="auto"/>
      </w:divBdr>
    </w:div>
    <w:div w:id="1455715655">
      <w:bodyDiv w:val="1"/>
      <w:marLeft w:val="0"/>
      <w:marRight w:val="0"/>
      <w:marTop w:val="0"/>
      <w:marBottom w:val="0"/>
      <w:divBdr>
        <w:top w:val="none" w:sz="0" w:space="0" w:color="auto"/>
        <w:left w:val="none" w:sz="0" w:space="0" w:color="auto"/>
        <w:bottom w:val="none" w:sz="0" w:space="0" w:color="auto"/>
        <w:right w:val="none" w:sz="0" w:space="0" w:color="auto"/>
      </w:divBdr>
    </w:div>
    <w:div w:id="1520897965">
      <w:bodyDiv w:val="1"/>
      <w:marLeft w:val="0"/>
      <w:marRight w:val="0"/>
      <w:marTop w:val="0"/>
      <w:marBottom w:val="0"/>
      <w:divBdr>
        <w:top w:val="none" w:sz="0" w:space="0" w:color="auto"/>
        <w:left w:val="none" w:sz="0" w:space="0" w:color="auto"/>
        <w:bottom w:val="none" w:sz="0" w:space="0" w:color="auto"/>
        <w:right w:val="none" w:sz="0" w:space="0" w:color="auto"/>
      </w:divBdr>
    </w:div>
    <w:div w:id="1566139451">
      <w:bodyDiv w:val="1"/>
      <w:marLeft w:val="0"/>
      <w:marRight w:val="0"/>
      <w:marTop w:val="0"/>
      <w:marBottom w:val="0"/>
      <w:divBdr>
        <w:top w:val="none" w:sz="0" w:space="0" w:color="auto"/>
        <w:left w:val="none" w:sz="0" w:space="0" w:color="auto"/>
        <w:bottom w:val="none" w:sz="0" w:space="0" w:color="auto"/>
        <w:right w:val="none" w:sz="0" w:space="0" w:color="auto"/>
      </w:divBdr>
    </w:div>
    <w:div w:id="1624917685">
      <w:bodyDiv w:val="1"/>
      <w:marLeft w:val="0"/>
      <w:marRight w:val="0"/>
      <w:marTop w:val="0"/>
      <w:marBottom w:val="0"/>
      <w:divBdr>
        <w:top w:val="none" w:sz="0" w:space="0" w:color="auto"/>
        <w:left w:val="none" w:sz="0" w:space="0" w:color="auto"/>
        <w:bottom w:val="none" w:sz="0" w:space="0" w:color="auto"/>
        <w:right w:val="none" w:sz="0" w:space="0" w:color="auto"/>
      </w:divBdr>
    </w:div>
    <w:div w:id="1626691390">
      <w:bodyDiv w:val="1"/>
      <w:marLeft w:val="0"/>
      <w:marRight w:val="0"/>
      <w:marTop w:val="0"/>
      <w:marBottom w:val="0"/>
      <w:divBdr>
        <w:top w:val="none" w:sz="0" w:space="0" w:color="auto"/>
        <w:left w:val="none" w:sz="0" w:space="0" w:color="auto"/>
        <w:bottom w:val="none" w:sz="0" w:space="0" w:color="auto"/>
        <w:right w:val="none" w:sz="0" w:space="0" w:color="auto"/>
      </w:divBdr>
    </w:div>
    <w:div w:id="1634024165">
      <w:bodyDiv w:val="1"/>
      <w:marLeft w:val="0"/>
      <w:marRight w:val="0"/>
      <w:marTop w:val="0"/>
      <w:marBottom w:val="0"/>
      <w:divBdr>
        <w:top w:val="none" w:sz="0" w:space="0" w:color="auto"/>
        <w:left w:val="none" w:sz="0" w:space="0" w:color="auto"/>
        <w:bottom w:val="none" w:sz="0" w:space="0" w:color="auto"/>
        <w:right w:val="none" w:sz="0" w:space="0" w:color="auto"/>
      </w:divBdr>
    </w:div>
    <w:div w:id="1690645939">
      <w:bodyDiv w:val="1"/>
      <w:marLeft w:val="0"/>
      <w:marRight w:val="0"/>
      <w:marTop w:val="0"/>
      <w:marBottom w:val="0"/>
      <w:divBdr>
        <w:top w:val="none" w:sz="0" w:space="0" w:color="auto"/>
        <w:left w:val="none" w:sz="0" w:space="0" w:color="auto"/>
        <w:bottom w:val="none" w:sz="0" w:space="0" w:color="auto"/>
        <w:right w:val="none" w:sz="0" w:space="0" w:color="auto"/>
      </w:divBdr>
    </w:div>
    <w:div w:id="1701585285">
      <w:bodyDiv w:val="1"/>
      <w:marLeft w:val="0"/>
      <w:marRight w:val="0"/>
      <w:marTop w:val="0"/>
      <w:marBottom w:val="0"/>
      <w:divBdr>
        <w:top w:val="none" w:sz="0" w:space="0" w:color="auto"/>
        <w:left w:val="none" w:sz="0" w:space="0" w:color="auto"/>
        <w:bottom w:val="none" w:sz="0" w:space="0" w:color="auto"/>
        <w:right w:val="none" w:sz="0" w:space="0" w:color="auto"/>
      </w:divBdr>
    </w:div>
    <w:div w:id="1841196743">
      <w:bodyDiv w:val="1"/>
      <w:marLeft w:val="0"/>
      <w:marRight w:val="0"/>
      <w:marTop w:val="0"/>
      <w:marBottom w:val="0"/>
      <w:divBdr>
        <w:top w:val="none" w:sz="0" w:space="0" w:color="auto"/>
        <w:left w:val="none" w:sz="0" w:space="0" w:color="auto"/>
        <w:bottom w:val="none" w:sz="0" w:space="0" w:color="auto"/>
        <w:right w:val="none" w:sz="0" w:space="0" w:color="auto"/>
      </w:divBdr>
    </w:div>
    <w:div w:id="2047756943">
      <w:bodyDiv w:val="1"/>
      <w:marLeft w:val="0"/>
      <w:marRight w:val="0"/>
      <w:marTop w:val="0"/>
      <w:marBottom w:val="0"/>
      <w:divBdr>
        <w:top w:val="none" w:sz="0" w:space="0" w:color="auto"/>
        <w:left w:val="none" w:sz="0" w:space="0" w:color="auto"/>
        <w:bottom w:val="none" w:sz="0" w:space="0" w:color="auto"/>
        <w:right w:val="none" w:sz="0" w:space="0" w:color="auto"/>
      </w:divBdr>
    </w:div>
    <w:div w:id="2085179882">
      <w:bodyDiv w:val="1"/>
      <w:marLeft w:val="0"/>
      <w:marRight w:val="0"/>
      <w:marTop w:val="0"/>
      <w:marBottom w:val="0"/>
      <w:divBdr>
        <w:top w:val="none" w:sz="0" w:space="0" w:color="auto"/>
        <w:left w:val="none" w:sz="0" w:space="0" w:color="auto"/>
        <w:bottom w:val="none" w:sz="0" w:space="0" w:color="auto"/>
        <w:right w:val="none" w:sz="0" w:space="0" w:color="auto"/>
      </w:divBdr>
    </w:div>
    <w:div w:id="2102869737">
      <w:bodyDiv w:val="1"/>
      <w:marLeft w:val="0"/>
      <w:marRight w:val="0"/>
      <w:marTop w:val="0"/>
      <w:marBottom w:val="0"/>
      <w:divBdr>
        <w:top w:val="none" w:sz="0" w:space="0" w:color="auto"/>
        <w:left w:val="none" w:sz="0" w:space="0" w:color="auto"/>
        <w:bottom w:val="none" w:sz="0" w:space="0" w:color="auto"/>
        <w:right w:val="none" w:sz="0" w:space="0" w:color="auto"/>
      </w:divBdr>
    </w:div>
    <w:div w:id="2141150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oleObject" Target="file:///\\fk\bd\Kopsavilkuma_nod\VBPKN_jaut&#257;jumi\BUDZETS_2025\Paskaidrojumi\VBPKN\dati_Kdala_2025_gadam.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fk\bd\Kopsavilkuma_nod\VBPKN_jaut&#257;jumi\BUDZETS_2025\Paskaidrojumi\VBPKN\dati_Kdala_2025_gadam.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fk\bd\Kopsavilkuma_nod\VBPKN_jaut&#257;jumi\BUDZETS_2025\Paskaidrojumi\VBPKN\dati_Kdala_2025_gadam.xlsx" TargetMode="Externa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chartUserShapes" Target="../drawings/drawing1.xml"/></Relationships>
</file>

<file path=word/charts/_rels/chart4.xml.rels><?xml version="1.0" encoding="UTF-8" standalone="yes"?>
<Relationships xmlns="http://schemas.openxmlformats.org/package/2006/relationships"><Relationship Id="rId3" Type="http://schemas.openxmlformats.org/officeDocument/2006/relationships/oleObject" Target="file:///\\fk\bd\Kopsavilkuma_nod\VBPKN_jaut&#257;jumi\BUDZETS_2025\Paskaidrojumi\VBPKN\dati_Kdala_2025_gadam.xlsx" TargetMode="Externa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chartUserShapes" Target="../drawings/drawing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8745018519691984E-2"/>
          <c:y val="5.9424326833797586E-2"/>
          <c:w val="0.90160000695277331"/>
          <c:h val="0.71279626258416862"/>
        </c:manualLayout>
      </c:layout>
      <c:barChart>
        <c:barDir val="col"/>
        <c:grouping val="clustered"/>
        <c:varyColors val="0"/>
        <c:ser>
          <c:idx val="0"/>
          <c:order val="0"/>
          <c:tx>
            <c:strRef>
              <c:f>kons_funk!$B$18</c:f>
              <c:strCache>
                <c:ptCount val="1"/>
                <c:pt idx="0">
                  <c:v>2024. gada plāns</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w="9525" cap="flat" cmpd="sng" algn="ctr">
              <a:solidFill>
                <a:schemeClr val="accent1">
                  <a:shade val="95000"/>
                  <a:satMod val="105000"/>
                </a:schemeClr>
              </a:solidFill>
              <a:prstDash val="solid"/>
            </a:ln>
            <a:effectLst>
              <a:outerShdw blurRad="40000" dist="23000" dir="5400000" rotWithShape="0">
                <a:srgbClr val="000000">
                  <a:alpha val="35000"/>
                </a:srgbClr>
              </a:outerShdw>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kons_funk!$A$19:$A$28</c:f>
              <c:strCache>
                <c:ptCount val="10"/>
                <c:pt idx="0">
                  <c:v>Vispārējie valdības dienesti</c:v>
                </c:pt>
                <c:pt idx="1">
                  <c:v>Aizsardzība</c:v>
                </c:pt>
                <c:pt idx="2">
                  <c:v>Sabiedriskā kārtība un drošība</c:v>
                </c:pt>
                <c:pt idx="3">
                  <c:v>Ekonomiskā darbība</c:v>
                </c:pt>
                <c:pt idx="4">
                  <c:v>Vides aizsardzība</c:v>
                </c:pt>
                <c:pt idx="5">
                  <c:v>Teritoriju un mājokļu apsaimniekošana</c:v>
                </c:pt>
                <c:pt idx="6">
                  <c:v>Veselība</c:v>
                </c:pt>
                <c:pt idx="7">
                  <c:v>Atpūta, kultūra un reliģija</c:v>
                </c:pt>
                <c:pt idx="8">
                  <c:v>Izglītība</c:v>
                </c:pt>
                <c:pt idx="9">
                  <c:v>Sociālā aizsardzība</c:v>
                </c:pt>
              </c:strCache>
            </c:strRef>
          </c:cat>
          <c:val>
            <c:numRef>
              <c:f>kons_funk!$B$19:$B$28</c:f>
              <c:numCache>
                <c:formatCode>#\ ###\ ###.0</c:formatCode>
                <c:ptCount val="10"/>
                <c:pt idx="0">
                  <c:v>1939.0978729999999</c:v>
                </c:pt>
                <c:pt idx="1">
                  <c:v>1501.9718909999999</c:v>
                </c:pt>
                <c:pt idx="2">
                  <c:v>1091.74468</c:v>
                </c:pt>
                <c:pt idx="3">
                  <c:v>3100.5307889999999</c:v>
                </c:pt>
                <c:pt idx="4">
                  <c:v>73.328524000000002</c:v>
                </c:pt>
                <c:pt idx="5">
                  <c:v>24.201218000000001</c:v>
                </c:pt>
                <c:pt idx="6">
                  <c:v>1841.545363</c:v>
                </c:pt>
                <c:pt idx="7">
                  <c:v>235.13255599999999</c:v>
                </c:pt>
                <c:pt idx="8">
                  <c:v>1156.185123</c:v>
                </c:pt>
                <c:pt idx="9">
                  <c:v>5253.0935579999996</c:v>
                </c:pt>
              </c:numCache>
            </c:numRef>
          </c:val>
          <c:extLst>
            <c:ext xmlns:c16="http://schemas.microsoft.com/office/drawing/2014/chart" uri="{C3380CC4-5D6E-409C-BE32-E72D297353CC}">
              <c16:uniqueId val="{00000000-6F45-4FE6-9CF4-64CE84BE1156}"/>
            </c:ext>
          </c:extLst>
        </c:ser>
        <c:ser>
          <c:idx val="1"/>
          <c:order val="1"/>
          <c:tx>
            <c:strRef>
              <c:f>kons_funk!$C$18</c:f>
              <c:strCache>
                <c:ptCount val="1"/>
                <c:pt idx="0">
                  <c:v>2025. gada projekts</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w="9525" cap="flat" cmpd="sng" algn="ctr">
              <a:solidFill>
                <a:schemeClr val="accent2">
                  <a:shade val="95000"/>
                  <a:satMod val="105000"/>
                </a:schemeClr>
              </a:solidFill>
              <a:prstDash val="solid"/>
            </a:ln>
            <a:effectLst>
              <a:outerShdw blurRad="40000" dist="23000" dir="5400000" rotWithShape="0">
                <a:srgbClr val="000000">
                  <a:alpha val="35000"/>
                </a:srgbClr>
              </a:outerShdw>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kons_funk!$A$19:$A$28</c:f>
              <c:strCache>
                <c:ptCount val="10"/>
                <c:pt idx="0">
                  <c:v>Vispārējie valdības dienesti</c:v>
                </c:pt>
                <c:pt idx="1">
                  <c:v>Aizsardzība</c:v>
                </c:pt>
                <c:pt idx="2">
                  <c:v>Sabiedriskā kārtība un drošība</c:v>
                </c:pt>
                <c:pt idx="3">
                  <c:v>Ekonomiskā darbība</c:v>
                </c:pt>
                <c:pt idx="4">
                  <c:v>Vides aizsardzība</c:v>
                </c:pt>
                <c:pt idx="5">
                  <c:v>Teritoriju un mājokļu apsaimniekošana</c:v>
                </c:pt>
                <c:pt idx="6">
                  <c:v>Veselība</c:v>
                </c:pt>
                <c:pt idx="7">
                  <c:v>Atpūta, kultūra un reliģija</c:v>
                </c:pt>
                <c:pt idx="8">
                  <c:v>Izglītība</c:v>
                </c:pt>
                <c:pt idx="9">
                  <c:v>Sociālā aizsardzība</c:v>
                </c:pt>
              </c:strCache>
            </c:strRef>
          </c:cat>
          <c:val>
            <c:numRef>
              <c:f>kons_funk!$C$19:$C$28</c:f>
              <c:numCache>
                <c:formatCode>#\ ###\ ###.0</c:formatCode>
                <c:ptCount val="10"/>
                <c:pt idx="0">
                  <c:v>2135.4243849999998</c:v>
                </c:pt>
                <c:pt idx="1">
                  <c:v>1758.492373</c:v>
                </c:pt>
                <c:pt idx="2">
                  <c:v>1134.4682190000001</c:v>
                </c:pt>
                <c:pt idx="3">
                  <c:v>2935.1897669999998</c:v>
                </c:pt>
                <c:pt idx="4">
                  <c:v>71.513041000000001</c:v>
                </c:pt>
                <c:pt idx="5">
                  <c:v>36.802864</c:v>
                </c:pt>
                <c:pt idx="6">
                  <c:v>1874.4021069999999</c:v>
                </c:pt>
                <c:pt idx="7">
                  <c:v>241.618055</c:v>
                </c:pt>
                <c:pt idx="8">
                  <c:v>1232.5897379999999</c:v>
                </c:pt>
                <c:pt idx="9">
                  <c:v>5672.8649919999998</c:v>
                </c:pt>
              </c:numCache>
            </c:numRef>
          </c:val>
          <c:extLst>
            <c:ext xmlns:c16="http://schemas.microsoft.com/office/drawing/2014/chart" uri="{C3380CC4-5D6E-409C-BE32-E72D297353CC}">
              <c16:uniqueId val="{00000001-6F45-4FE6-9CF4-64CE84BE1156}"/>
            </c:ext>
          </c:extLst>
        </c:ser>
        <c:ser>
          <c:idx val="2"/>
          <c:order val="2"/>
          <c:tx>
            <c:strRef>
              <c:f>kons_funk!$D$18</c:f>
              <c:strCache>
                <c:ptCount val="1"/>
                <c:pt idx="0">
                  <c:v>2026. gada prognoze</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w="9525" cap="flat" cmpd="sng" algn="ctr">
              <a:solidFill>
                <a:schemeClr val="accent3">
                  <a:shade val="95000"/>
                  <a:satMod val="105000"/>
                </a:schemeClr>
              </a:solidFill>
              <a:prstDash val="solid"/>
            </a:ln>
            <a:effectLst>
              <a:outerShdw blurRad="40000" dist="23000" dir="5400000" rotWithShape="0">
                <a:srgbClr val="000000">
                  <a:alpha val="35000"/>
                </a:srgbClr>
              </a:outerShdw>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kons_funk!$A$19:$A$28</c:f>
              <c:strCache>
                <c:ptCount val="10"/>
                <c:pt idx="0">
                  <c:v>Vispārējie valdības dienesti</c:v>
                </c:pt>
                <c:pt idx="1">
                  <c:v>Aizsardzība</c:v>
                </c:pt>
                <c:pt idx="2">
                  <c:v>Sabiedriskā kārtība un drošība</c:v>
                </c:pt>
                <c:pt idx="3">
                  <c:v>Ekonomiskā darbība</c:v>
                </c:pt>
                <c:pt idx="4">
                  <c:v>Vides aizsardzība</c:v>
                </c:pt>
                <c:pt idx="5">
                  <c:v>Teritoriju un mājokļu apsaimniekošana</c:v>
                </c:pt>
                <c:pt idx="6">
                  <c:v>Veselība</c:v>
                </c:pt>
                <c:pt idx="7">
                  <c:v>Atpūta, kultūra un reliģija</c:v>
                </c:pt>
                <c:pt idx="8">
                  <c:v>Izglītība</c:v>
                </c:pt>
                <c:pt idx="9">
                  <c:v>Sociālā aizsardzība</c:v>
                </c:pt>
              </c:strCache>
            </c:strRef>
          </c:cat>
          <c:val>
            <c:numRef>
              <c:f>kons_funk!$D$19:$D$28</c:f>
              <c:numCache>
                <c:formatCode>#\ ###\ ###.0</c:formatCode>
                <c:ptCount val="10"/>
                <c:pt idx="0">
                  <c:v>2199.0243169999999</c:v>
                </c:pt>
                <c:pt idx="1">
                  <c:v>1812.081555</c:v>
                </c:pt>
                <c:pt idx="2">
                  <c:v>988.65596600000003</c:v>
                </c:pt>
                <c:pt idx="3">
                  <c:v>2831.0260330000001</c:v>
                </c:pt>
                <c:pt idx="4">
                  <c:v>62.631475999999999</c:v>
                </c:pt>
                <c:pt idx="5">
                  <c:v>27.635033</c:v>
                </c:pt>
                <c:pt idx="6">
                  <c:v>1865.22109</c:v>
                </c:pt>
                <c:pt idx="7">
                  <c:v>243.92604399999999</c:v>
                </c:pt>
                <c:pt idx="8">
                  <c:v>1190.787785</c:v>
                </c:pt>
                <c:pt idx="9">
                  <c:v>6074.9994729999999</c:v>
                </c:pt>
              </c:numCache>
            </c:numRef>
          </c:val>
          <c:extLst>
            <c:ext xmlns:c16="http://schemas.microsoft.com/office/drawing/2014/chart" uri="{C3380CC4-5D6E-409C-BE32-E72D297353CC}">
              <c16:uniqueId val="{00000002-6F45-4FE6-9CF4-64CE84BE1156}"/>
            </c:ext>
          </c:extLst>
        </c:ser>
        <c:ser>
          <c:idx val="3"/>
          <c:order val="3"/>
          <c:tx>
            <c:strRef>
              <c:f>kons_funk!$E$18</c:f>
              <c:strCache>
                <c:ptCount val="1"/>
                <c:pt idx="0">
                  <c:v>2027. gada prognoze</c:v>
                </c:pt>
              </c:strCache>
            </c:strRef>
          </c:tx>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w="9525" cap="flat" cmpd="sng" algn="ctr">
              <a:solidFill>
                <a:schemeClr val="accent4">
                  <a:shade val="95000"/>
                  <a:satMod val="105000"/>
                </a:schemeClr>
              </a:solidFill>
              <a:prstDash val="solid"/>
            </a:ln>
            <a:effectLst>
              <a:outerShdw blurRad="40000" dist="23000" dir="5400000" rotWithShape="0">
                <a:srgbClr val="000000">
                  <a:alpha val="35000"/>
                </a:srgbClr>
              </a:outerShdw>
            </a:effectLst>
          </c:spPr>
          <c:invertIfNegative val="0"/>
          <c:dLbls>
            <c:dLbl>
              <c:idx val="0"/>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extLst>
                <c:ext xmlns:c16="http://schemas.microsoft.com/office/drawing/2014/chart" uri="{C3380CC4-5D6E-409C-BE32-E72D297353CC}">
                  <c16:uniqueId val="{00000003-6F45-4FE6-9CF4-64CE84BE1156}"/>
                </c:ext>
              </c:extLst>
            </c:dLbl>
            <c:spPr>
              <a:noFill/>
              <a:ln>
                <a:noFill/>
              </a:ln>
              <a:effectLst/>
            </c:spPr>
            <c:txPr>
              <a:bodyPr rot="-5400000" spcFirstLastPara="1" vertOverflow="ellipsis" wrap="square" lIns="38100" tIns="19050" rIns="38100" bIns="19050" anchor="ctr" anchorCtr="1">
                <a:spAutoFit/>
              </a:bodyPr>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kons_funk!$A$19:$A$28</c:f>
              <c:strCache>
                <c:ptCount val="10"/>
                <c:pt idx="0">
                  <c:v>Vispārējie valdības dienesti</c:v>
                </c:pt>
                <c:pt idx="1">
                  <c:v>Aizsardzība</c:v>
                </c:pt>
                <c:pt idx="2">
                  <c:v>Sabiedriskā kārtība un drošība</c:v>
                </c:pt>
                <c:pt idx="3">
                  <c:v>Ekonomiskā darbība</c:v>
                </c:pt>
                <c:pt idx="4">
                  <c:v>Vides aizsardzība</c:v>
                </c:pt>
                <c:pt idx="5">
                  <c:v>Teritoriju un mājokļu apsaimniekošana</c:v>
                </c:pt>
                <c:pt idx="6">
                  <c:v>Veselība</c:v>
                </c:pt>
                <c:pt idx="7">
                  <c:v>Atpūta, kultūra un reliģija</c:v>
                </c:pt>
                <c:pt idx="8">
                  <c:v>Izglītība</c:v>
                </c:pt>
                <c:pt idx="9">
                  <c:v>Sociālā aizsardzība</c:v>
                </c:pt>
              </c:strCache>
            </c:strRef>
          </c:cat>
          <c:val>
            <c:numRef>
              <c:f>kons_funk!$E$19:$E$28</c:f>
              <c:numCache>
                <c:formatCode>#\ ###\ ###.0</c:formatCode>
                <c:ptCount val="10"/>
                <c:pt idx="0">
                  <c:v>2108.2657290000002</c:v>
                </c:pt>
                <c:pt idx="1">
                  <c:v>1842.158406</c:v>
                </c:pt>
                <c:pt idx="2">
                  <c:v>899.89399900000001</c:v>
                </c:pt>
                <c:pt idx="3">
                  <c:v>2355.3423309999998</c:v>
                </c:pt>
                <c:pt idx="4">
                  <c:v>57.309074000000003</c:v>
                </c:pt>
                <c:pt idx="5">
                  <c:v>17.237504000000001</c:v>
                </c:pt>
                <c:pt idx="6">
                  <c:v>1859.772759</c:v>
                </c:pt>
                <c:pt idx="7">
                  <c:v>250.46762000000001</c:v>
                </c:pt>
                <c:pt idx="8">
                  <c:v>1182.260374</c:v>
                </c:pt>
                <c:pt idx="9">
                  <c:v>6448.6652789999998</c:v>
                </c:pt>
              </c:numCache>
            </c:numRef>
          </c:val>
          <c:extLst>
            <c:ext xmlns:c16="http://schemas.microsoft.com/office/drawing/2014/chart" uri="{C3380CC4-5D6E-409C-BE32-E72D297353CC}">
              <c16:uniqueId val="{00000004-6F45-4FE6-9CF4-64CE84BE1156}"/>
            </c:ext>
          </c:extLst>
        </c:ser>
        <c:dLbls>
          <c:showLegendKey val="0"/>
          <c:showVal val="0"/>
          <c:showCatName val="0"/>
          <c:showSerName val="0"/>
          <c:showPercent val="0"/>
          <c:showBubbleSize val="0"/>
        </c:dLbls>
        <c:gapWidth val="219"/>
        <c:overlap val="-27"/>
        <c:axId val="234944128"/>
        <c:axId val="234943800"/>
      </c:barChart>
      <c:catAx>
        <c:axId val="2349441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5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234943800"/>
        <c:crosses val="autoZero"/>
        <c:auto val="1"/>
        <c:lblAlgn val="ctr"/>
        <c:lblOffset val="100"/>
        <c:noMultiLvlLbl val="0"/>
      </c:catAx>
      <c:valAx>
        <c:axId val="23494380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2349441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lv-LV"/>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6291258993499219E-2"/>
          <c:y val="2.932681215872418E-2"/>
          <c:w val="0.91599062169925516"/>
          <c:h val="0.7474904792824022"/>
        </c:manualLayout>
      </c:layout>
      <c:barChart>
        <c:barDir val="col"/>
        <c:grouping val="clustered"/>
        <c:varyColors val="0"/>
        <c:ser>
          <c:idx val="0"/>
          <c:order val="0"/>
          <c:tx>
            <c:strRef>
              <c:f>kons_ekon!$B$16</c:f>
              <c:strCache>
                <c:ptCount val="1"/>
                <c:pt idx="0">
                  <c:v>2024. gada plāns</c:v>
                </c:pt>
              </c:strCache>
            </c:strRef>
          </c:tx>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w="9525" cap="flat" cmpd="sng" algn="ctr">
              <a:solidFill>
                <a:schemeClr val="accent5">
                  <a:shade val="95000"/>
                  <a:satMod val="105000"/>
                </a:schemeClr>
              </a:solidFill>
              <a:prstDash val="solid"/>
            </a:ln>
            <a:effectLst>
              <a:outerShdw blurRad="40000" dist="23000" dir="5400000" rotWithShape="0">
                <a:srgbClr val="000000">
                  <a:alpha val="35000"/>
                </a:srgbClr>
              </a:outerShdw>
            </a:effectLst>
          </c:spPr>
          <c:invertIfNegative val="0"/>
          <c:dLbls>
            <c:numFmt formatCode="#,##0.0" sourceLinked="0"/>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kons_ekon!$A$17:$A$24</c:f>
              <c:strCache>
                <c:ptCount val="8"/>
                <c:pt idx="0">
                  <c:v>Atlīdzība</c:v>
                </c:pt>
                <c:pt idx="1">
                  <c:v>Preces un pakalpojumi</c:v>
                </c:pt>
                <c:pt idx="2">
                  <c:v>Procentu izdevumi</c:v>
                </c:pt>
                <c:pt idx="3">
                  <c:v>Subsīdijas un dotācijas</c:v>
                </c:pt>
                <c:pt idx="4">
                  <c:v>Sociāla rakstura maksājumi un kompensācijas</c:v>
                </c:pt>
                <c:pt idx="5">
                  <c:v>Kārtējie maksājumi ES budžetā un starptautiskā sadarbība</c:v>
                </c:pt>
                <c:pt idx="6">
                  <c:v>Uzturēšanas izdevumu transferti</c:v>
                </c:pt>
                <c:pt idx="7">
                  <c:v>Kapitālie izdevumi</c:v>
                </c:pt>
              </c:strCache>
            </c:strRef>
          </c:cat>
          <c:val>
            <c:numRef>
              <c:f>kons_ekon!$B$17:$B$24</c:f>
              <c:numCache>
                <c:formatCode>#\ ##0.0</c:formatCode>
                <c:ptCount val="8"/>
                <c:pt idx="0">
                  <c:v>1818.4511199999999</c:v>
                </c:pt>
                <c:pt idx="1">
                  <c:v>995.45884000000001</c:v>
                </c:pt>
                <c:pt idx="2">
                  <c:v>361.35641099999998</c:v>
                </c:pt>
                <c:pt idx="3">
                  <c:v>5283.0801650000003</c:v>
                </c:pt>
                <c:pt idx="4">
                  <c:v>4942.0441490000003</c:v>
                </c:pt>
                <c:pt idx="5">
                  <c:v>463.77804800000001</c:v>
                </c:pt>
                <c:pt idx="6">
                  <c:v>1273.473767</c:v>
                </c:pt>
                <c:pt idx="7">
                  <c:v>1079.189075</c:v>
                </c:pt>
              </c:numCache>
            </c:numRef>
          </c:val>
          <c:extLst>
            <c:ext xmlns:c16="http://schemas.microsoft.com/office/drawing/2014/chart" uri="{C3380CC4-5D6E-409C-BE32-E72D297353CC}">
              <c16:uniqueId val="{00000000-7EE8-439E-9C37-CA704C04AB4C}"/>
            </c:ext>
          </c:extLst>
        </c:ser>
        <c:ser>
          <c:idx val="1"/>
          <c:order val="1"/>
          <c:tx>
            <c:strRef>
              <c:f>kons_ekon!$C$16</c:f>
              <c:strCache>
                <c:ptCount val="1"/>
                <c:pt idx="0">
                  <c:v>2025. gada projekts</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w="9525" cap="flat" cmpd="sng" algn="ctr">
              <a:solidFill>
                <a:schemeClr val="accent2">
                  <a:shade val="95000"/>
                  <a:satMod val="105000"/>
                </a:schemeClr>
              </a:solidFill>
              <a:prstDash val="solid"/>
            </a:ln>
            <a:effectLst>
              <a:outerShdw blurRad="40000" dist="23000" dir="5400000" rotWithShape="0">
                <a:srgbClr val="000000">
                  <a:alpha val="35000"/>
                </a:srgbClr>
              </a:outerShdw>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kons_ekon!$A$17:$A$24</c:f>
              <c:strCache>
                <c:ptCount val="8"/>
                <c:pt idx="0">
                  <c:v>Atlīdzība</c:v>
                </c:pt>
                <c:pt idx="1">
                  <c:v>Preces un pakalpojumi</c:v>
                </c:pt>
                <c:pt idx="2">
                  <c:v>Procentu izdevumi</c:v>
                </c:pt>
                <c:pt idx="3">
                  <c:v>Subsīdijas un dotācijas</c:v>
                </c:pt>
                <c:pt idx="4">
                  <c:v>Sociāla rakstura maksājumi un kompensācijas</c:v>
                </c:pt>
                <c:pt idx="5">
                  <c:v>Kārtējie maksājumi ES budžetā un starptautiskā sadarbība</c:v>
                </c:pt>
                <c:pt idx="6">
                  <c:v>Uzturēšanas izdevumu transferti</c:v>
                </c:pt>
                <c:pt idx="7">
                  <c:v>Kapitālie izdevumi</c:v>
                </c:pt>
              </c:strCache>
            </c:strRef>
          </c:cat>
          <c:val>
            <c:numRef>
              <c:f>kons_ekon!$C$17:$C$24</c:f>
              <c:numCache>
                <c:formatCode>#\ ##0.0</c:formatCode>
                <c:ptCount val="8"/>
                <c:pt idx="0">
                  <c:v>1964.0256529999999</c:v>
                </c:pt>
                <c:pt idx="1">
                  <c:v>1286.4676030000001</c:v>
                </c:pt>
                <c:pt idx="2">
                  <c:v>507.11644999999999</c:v>
                </c:pt>
                <c:pt idx="3">
                  <c:v>4997.8327989999998</c:v>
                </c:pt>
                <c:pt idx="4">
                  <c:v>5372.6242679999996</c:v>
                </c:pt>
                <c:pt idx="5">
                  <c:v>415.511889</c:v>
                </c:pt>
                <c:pt idx="6">
                  <c:v>1447.637917</c:v>
                </c:pt>
                <c:pt idx="7">
                  <c:v>1102.148962</c:v>
                </c:pt>
              </c:numCache>
            </c:numRef>
          </c:val>
          <c:extLst>
            <c:ext xmlns:c16="http://schemas.microsoft.com/office/drawing/2014/chart" uri="{C3380CC4-5D6E-409C-BE32-E72D297353CC}">
              <c16:uniqueId val="{00000001-7EE8-439E-9C37-CA704C04AB4C}"/>
            </c:ext>
          </c:extLst>
        </c:ser>
        <c:ser>
          <c:idx val="2"/>
          <c:order val="2"/>
          <c:tx>
            <c:strRef>
              <c:f>kons_ekon!$D$16</c:f>
              <c:strCache>
                <c:ptCount val="1"/>
                <c:pt idx="0">
                  <c:v>2026. gada prognoze</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w="9525" cap="flat" cmpd="sng" algn="ctr">
              <a:solidFill>
                <a:schemeClr val="accent3">
                  <a:shade val="95000"/>
                  <a:satMod val="105000"/>
                </a:schemeClr>
              </a:solidFill>
              <a:prstDash val="solid"/>
            </a:ln>
            <a:effectLst>
              <a:outerShdw blurRad="40000" dist="23000" dir="5400000" rotWithShape="0">
                <a:srgbClr val="000000">
                  <a:alpha val="35000"/>
                </a:srgbClr>
              </a:outerShdw>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kons_ekon!$A$17:$A$24</c:f>
              <c:strCache>
                <c:ptCount val="8"/>
                <c:pt idx="0">
                  <c:v>Atlīdzība</c:v>
                </c:pt>
                <c:pt idx="1">
                  <c:v>Preces un pakalpojumi</c:v>
                </c:pt>
                <c:pt idx="2">
                  <c:v>Procentu izdevumi</c:v>
                </c:pt>
                <c:pt idx="3">
                  <c:v>Subsīdijas un dotācijas</c:v>
                </c:pt>
                <c:pt idx="4">
                  <c:v>Sociāla rakstura maksājumi un kompensācijas</c:v>
                </c:pt>
                <c:pt idx="5">
                  <c:v>Kārtējie maksājumi ES budžetā un starptautiskā sadarbība</c:v>
                </c:pt>
                <c:pt idx="6">
                  <c:v>Uzturēšanas izdevumu transferti</c:v>
                </c:pt>
                <c:pt idx="7">
                  <c:v>Kapitālie izdevumi</c:v>
                </c:pt>
              </c:strCache>
            </c:strRef>
          </c:cat>
          <c:val>
            <c:numRef>
              <c:f>kons_ekon!$D$17:$D$24</c:f>
              <c:numCache>
                <c:formatCode>#\ ##0.0</c:formatCode>
                <c:ptCount val="8"/>
                <c:pt idx="0">
                  <c:v>1979.9856499999999</c:v>
                </c:pt>
                <c:pt idx="1">
                  <c:v>1256.5133989999999</c:v>
                </c:pt>
                <c:pt idx="2">
                  <c:v>606.44355599999994</c:v>
                </c:pt>
                <c:pt idx="3">
                  <c:v>4807.79673</c:v>
                </c:pt>
                <c:pt idx="4">
                  <c:v>5785.3347960000001</c:v>
                </c:pt>
                <c:pt idx="5">
                  <c:v>494.18330500000002</c:v>
                </c:pt>
                <c:pt idx="6">
                  <c:v>1472.01307</c:v>
                </c:pt>
                <c:pt idx="7">
                  <c:v>893.71826599999997</c:v>
                </c:pt>
              </c:numCache>
            </c:numRef>
          </c:val>
          <c:extLst>
            <c:ext xmlns:c16="http://schemas.microsoft.com/office/drawing/2014/chart" uri="{C3380CC4-5D6E-409C-BE32-E72D297353CC}">
              <c16:uniqueId val="{00000002-7EE8-439E-9C37-CA704C04AB4C}"/>
            </c:ext>
          </c:extLst>
        </c:ser>
        <c:ser>
          <c:idx val="3"/>
          <c:order val="3"/>
          <c:tx>
            <c:strRef>
              <c:f>kons_ekon!$E$16</c:f>
              <c:strCache>
                <c:ptCount val="1"/>
                <c:pt idx="0">
                  <c:v>2027. gada prognoze</c:v>
                </c:pt>
              </c:strCache>
            </c:strRef>
          </c:tx>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w="9525" cap="flat" cmpd="sng" algn="ctr">
              <a:solidFill>
                <a:schemeClr val="accent4">
                  <a:shade val="95000"/>
                  <a:satMod val="105000"/>
                </a:schemeClr>
              </a:solidFill>
              <a:prstDash val="solid"/>
            </a:ln>
            <a:effectLst>
              <a:outerShdw blurRad="40000" dist="23000" dir="5400000" rotWithShape="0">
                <a:srgbClr val="000000">
                  <a:alpha val="35000"/>
                </a:srgbClr>
              </a:outerShdw>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kons_ekon!$A$17:$A$24</c:f>
              <c:strCache>
                <c:ptCount val="8"/>
                <c:pt idx="0">
                  <c:v>Atlīdzība</c:v>
                </c:pt>
                <c:pt idx="1">
                  <c:v>Preces un pakalpojumi</c:v>
                </c:pt>
                <c:pt idx="2">
                  <c:v>Procentu izdevumi</c:v>
                </c:pt>
                <c:pt idx="3">
                  <c:v>Subsīdijas un dotācijas</c:v>
                </c:pt>
                <c:pt idx="4">
                  <c:v>Sociāla rakstura maksājumi un kompensācijas</c:v>
                </c:pt>
                <c:pt idx="5">
                  <c:v>Kārtējie maksājumi ES budžetā un starptautiskā sadarbība</c:v>
                </c:pt>
                <c:pt idx="6">
                  <c:v>Uzturēšanas izdevumu transferti</c:v>
                </c:pt>
                <c:pt idx="7">
                  <c:v>Kapitālie izdevumi</c:v>
                </c:pt>
              </c:strCache>
            </c:strRef>
          </c:cat>
          <c:val>
            <c:numRef>
              <c:f>kons_ekon!$E$17:$E$24</c:f>
              <c:numCache>
                <c:formatCode>#\ ##0.0</c:formatCode>
                <c:ptCount val="8"/>
                <c:pt idx="0">
                  <c:v>2002.281534</c:v>
                </c:pt>
                <c:pt idx="1">
                  <c:v>1284.3848370000001</c:v>
                </c:pt>
                <c:pt idx="2">
                  <c:v>664.29519300000004</c:v>
                </c:pt>
                <c:pt idx="3">
                  <c:v>4221.6561000000002</c:v>
                </c:pt>
                <c:pt idx="4">
                  <c:v>6152.8782039999996</c:v>
                </c:pt>
                <c:pt idx="5">
                  <c:v>520.65076699999997</c:v>
                </c:pt>
                <c:pt idx="6">
                  <c:v>1461.727494</c:v>
                </c:pt>
                <c:pt idx="7">
                  <c:v>713.49894600000005</c:v>
                </c:pt>
              </c:numCache>
            </c:numRef>
          </c:val>
          <c:extLst>
            <c:ext xmlns:c16="http://schemas.microsoft.com/office/drawing/2014/chart" uri="{C3380CC4-5D6E-409C-BE32-E72D297353CC}">
              <c16:uniqueId val="{00000003-7EE8-439E-9C37-CA704C04AB4C}"/>
            </c:ext>
          </c:extLst>
        </c:ser>
        <c:dLbls>
          <c:showLegendKey val="0"/>
          <c:showVal val="0"/>
          <c:showCatName val="0"/>
          <c:showSerName val="0"/>
          <c:showPercent val="0"/>
          <c:showBubbleSize val="0"/>
        </c:dLbls>
        <c:gapWidth val="219"/>
        <c:overlap val="-27"/>
        <c:axId val="449414488"/>
        <c:axId val="449418424"/>
      </c:barChart>
      <c:catAx>
        <c:axId val="4494144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449418424"/>
        <c:crosses val="autoZero"/>
        <c:auto val="1"/>
        <c:lblAlgn val="ctr"/>
        <c:lblOffset val="100"/>
        <c:noMultiLvlLbl val="0"/>
      </c:catAx>
      <c:valAx>
        <c:axId val="44941842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4494144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lv-LV"/>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2327602940307706E-2"/>
          <c:y val="0.10212735117247751"/>
          <c:w val="0.90266703800288628"/>
          <c:h val="0.72067618377720688"/>
        </c:manualLayout>
      </c:layout>
      <c:barChart>
        <c:barDir val="col"/>
        <c:grouping val="stacked"/>
        <c:varyColors val="0"/>
        <c:ser>
          <c:idx val="0"/>
          <c:order val="0"/>
          <c:tx>
            <c:strRef>
              <c:f>'pam_ES daļa'!$A$10</c:f>
              <c:strCache>
                <c:ptCount val="1"/>
                <c:pt idx="0">
                  <c:v>Izdevumi pamatfunkcijām </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w="9525" cap="flat" cmpd="sng" algn="ctr">
              <a:solidFill>
                <a:schemeClr val="accent3">
                  <a:shade val="95000"/>
                  <a:satMod val="105000"/>
                </a:schemeClr>
              </a:solidFill>
              <a:prstDash val="solid"/>
            </a:ln>
            <a:effectLst>
              <a:outerShdw blurRad="50800" dist="38100" dir="2700000" algn="tl" rotWithShape="0">
                <a:prstClr val="black">
                  <a:alpha val="4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'pam_ES daļa'!$B$9:$E$9</c:f>
              <c:strCache>
                <c:ptCount val="4"/>
                <c:pt idx="0">
                  <c:v>2024. gada plāns</c:v>
                </c:pt>
                <c:pt idx="1">
                  <c:v>2025. gada projekts</c:v>
                </c:pt>
                <c:pt idx="2">
                  <c:v>2026. gada prognoze</c:v>
                </c:pt>
                <c:pt idx="3">
                  <c:v>2027. gada prognoze</c:v>
                </c:pt>
              </c:strCache>
            </c:strRef>
          </c:cat>
          <c:val>
            <c:numRef>
              <c:f>'pam_ES daļa'!$B$10:$E$10</c:f>
              <c:numCache>
                <c:formatCode>#\ ##0.0</c:formatCode>
                <c:ptCount val="4"/>
                <c:pt idx="0">
                  <c:v>9521.4621079999997</c:v>
                </c:pt>
                <c:pt idx="1">
                  <c:v>9945.7208520000004</c:v>
                </c:pt>
                <c:pt idx="2">
                  <c:v>10048.881366</c:v>
                </c:pt>
                <c:pt idx="3">
                  <c:v>10219.488248</c:v>
                </c:pt>
              </c:numCache>
            </c:numRef>
          </c:val>
          <c:extLst>
            <c:ext xmlns:c16="http://schemas.microsoft.com/office/drawing/2014/chart" uri="{C3380CC4-5D6E-409C-BE32-E72D297353CC}">
              <c16:uniqueId val="{00000000-1F32-42CC-A85B-9AB8F7C6DFD6}"/>
            </c:ext>
          </c:extLst>
        </c:ser>
        <c:ser>
          <c:idx val="1"/>
          <c:order val="1"/>
          <c:tx>
            <c:strRef>
              <c:f>'pam_ES daļa'!$A$11</c:f>
              <c:strCache>
                <c:ptCount val="1"/>
                <c:pt idx="0">
                  <c:v>Izdevumi ES un pārējās ĀFP apguvei</c:v>
                </c:pt>
              </c:strCache>
            </c:strRef>
          </c:tx>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w="9525" cap="flat" cmpd="sng" algn="ctr">
              <a:solidFill>
                <a:schemeClr val="accent6">
                  <a:shade val="95000"/>
                  <a:satMod val="105000"/>
                </a:schemeClr>
              </a:solidFill>
              <a:prstDash val="solid"/>
            </a:ln>
            <a:effectLst>
              <a:outerShdw blurRad="50800" dist="38100" dir="2700000" algn="tl" rotWithShape="0">
                <a:prstClr val="black">
                  <a:alpha val="40000"/>
                </a:prstClr>
              </a:outerShdw>
            </a:effectLst>
          </c:spPr>
          <c:invertIfNegative val="0"/>
          <c:dPt>
            <c:idx val="0"/>
            <c:invertIfNegative val="0"/>
            <c:bubble3D val="0"/>
            <c:extLst>
              <c:ext xmlns:c16="http://schemas.microsoft.com/office/drawing/2014/chart" uri="{C3380CC4-5D6E-409C-BE32-E72D297353CC}">
                <c16:uniqueId val="{00000002-1F32-42CC-A85B-9AB8F7C6DFD6}"/>
              </c:ext>
            </c:extLst>
          </c:dPt>
          <c:dPt>
            <c:idx val="1"/>
            <c:invertIfNegative val="0"/>
            <c:bubble3D val="0"/>
            <c:extLst>
              <c:ext xmlns:c16="http://schemas.microsoft.com/office/drawing/2014/chart" uri="{C3380CC4-5D6E-409C-BE32-E72D297353CC}">
                <c16:uniqueId val="{00000004-1F32-42CC-A85B-9AB8F7C6DFD6}"/>
              </c:ext>
            </c:extLst>
          </c:dPt>
          <c:dPt>
            <c:idx val="2"/>
            <c:invertIfNegative val="0"/>
            <c:bubble3D val="0"/>
            <c:extLst>
              <c:ext xmlns:c16="http://schemas.microsoft.com/office/drawing/2014/chart" uri="{C3380CC4-5D6E-409C-BE32-E72D297353CC}">
                <c16:uniqueId val="{00000006-1F32-42CC-A85B-9AB8F7C6DFD6}"/>
              </c:ext>
            </c:extLst>
          </c:dPt>
          <c:dPt>
            <c:idx val="3"/>
            <c:invertIfNegative val="0"/>
            <c:bubble3D val="0"/>
            <c:extLst>
              <c:ext xmlns:c16="http://schemas.microsoft.com/office/drawing/2014/chart" uri="{C3380CC4-5D6E-409C-BE32-E72D297353CC}">
                <c16:uniqueId val="{00000008-1F32-42CC-A85B-9AB8F7C6DFD6}"/>
              </c:ext>
            </c:extLst>
          </c:dPt>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'pam_ES daļa'!$B$9:$E$9</c:f>
              <c:strCache>
                <c:ptCount val="4"/>
                <c:pt idx="0">
                  <c:v>2024. gada plāns</c:v>
                </c:pt>
                <c:pt idx="1">
                  <c:v>2025. gada projekts</c:v>
                </c:pt>
                <c:pt idx="2">
                  <c:v>2026. gada prognoze</c:v>
                </c:pt>
                <c:pt idx="3">
                  <c:v>2027. gada prognoze</c:v>
                </c:pt>
              </c:strCache>
            </c:strRef>
          </c:cat>
          <c:val>
            <c:numRef>
              <c:f>'pam_ES daļa'!$B$11:$E$11</c:f>
              <c:numCache>
                <c:formatCode>#\ ##0.0</c:formatCode>
                <c:ptCount val="4"/>
                <c:pt idx="0">
                  <c:v>2634.2718479999999</c:v>
                </c:pt>
                <c:pt idx="1">
                  <c:v>2733.6645469999999</c:v>
                </c:pt>
                <c:pt idx="2">
                  <c:v>2476.5609220000001</c:v>
                </c:pt>
                <c:pt idx="3">
                  <c:v>1743.7575529999999</c:v>
                </c:pt>
              </c:numCache>
            </c:numRef>
          </c:val>
          <c:extLst>
            <c:ext xmlns:c16="http://schemas.microsoft.com/office/drawing/2014/chart" uri="{C3380CC4-5D6E-409C-BE32-E72D297353CC}">
              <c16:uniqueId val="{00000009-1F32-42CC-A85B-9AB8F7C6DFD6}"/>
            </c:ext>
          </c:extLst>
        </c:ser>
        <c:dLbls>
          <c:showLegendKey val="0"/>
          <c:showVal val="0"/>
          <c:showCatName val="0"/>
          <c:showSerName val="0"/>
          <c:showPercent val="0"/>
          <c:showBubbleSize val="0"/>
        </c:dLbls>
        <c:gapWidth val="50"/>
        <c:overlap val="100"/>
        <c:axId val="336022728"/>
        <c:axId val="233376720"/>
      </c:barChart>
      <c:catAx>
        <c:axId val="3360227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233376720"/>
        <c:crosses val="autoZero"/>
        <c:auto val="1"/>
        <c:lblAlgn val="ctr"/>
        <c:lblOffset val="100"/>
        <c:noMultiLvlLbl val="0"/>
      </c:catAx>
      <c:valAx>
        <c:axId val="23337672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3360227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lv-LV"/>
    </a:p>
  </c:txPr>
  <c:externalData r:id="rId3">
    <c:autoUpdate val="0"/>
  </c:externalData>
  <c:userShapes r:id="rId4"/>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5004338312903268E-2"/>
          <c:y val="4.8939563285445575E-2"/>
          <c:w val="0.90813594092776206"/>
          <c:h val="0.70420813320625364"/>
        </c:manualLayout>
      </c:layout>
      <c:barChart>
        <c:barDir val="col"/>
        <c:grouping val="clustered"/>
        <c:varyColors val="0"/>
        <c:ser>
          <c:idx val="0"/>
          <c:order val="0"/>
          <c:tx>
            <c:strRef>
              <c:f>spec.budzets!$B$23</c:f>
              <c:strCache>
                <c:ptCount val="1"/>
                <c:pt idx="0">
                  <c:v>Valsts pensiju speciālais budžets</c:v>
                </c:pt>
              </c:strCache>
            </c:strRef>
          </c:tx>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w="9525" cap="flat" cmpd="sng" algn="ctr">
              <a:solidFill>
                <a:schemeClr val="accent4">
                  <a:shade val="95000"/>
                  <a:satMod val="105000"/>
                </a:schemeClr>
              </a:solidFill>
              <a:prstDash val="solid"/>
            </a:ln>
            <a:effectLst>
              <a:outerShdw blurRad="40000" dist="23000" dir="5400000" rotWithShape="0">
                <a:srgbClr val="000000">
                  <a:alpha val="35000"/>
                </a:srgbClr>
              </a:outerShdw>
            </a:effectLst>
          </c:spPr>
          <c:invertIfNegative val="0"/>
          <c:dLbls>
            <c:spPr>
              <a:noFill/>
              <a:ln>
                <a:noFill/>
              </a:ln>
              <a:effectLst/>
            </c:spPr>
            <c:txPr>
              <a:bodyPr rot="-5400000" spcFirstLastPara="1" vertOverflow="ellipsis" wrap="square" lIns="38100" tIns="19050" rIns="38100" bIns="19050" anchor="ctr" anchorCtr="1">
                <a:spAutoFit/>
              </a:bodyPr>
              <a:lstStyle/>
              <a:p>
                <a:pPr>
                  <a:defRPr sz="11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spec.budzets!$C$22:$F$22</c:f>
              <c:strCache>
                <c:ptCount val="4"/>
                <c:pt idx="0">
                  <c:v>2024. gada plāns</c:v>
                </c:pt>
                <c:pt idx="1">
                  <c:v>2025. gada projekts</c:v>
                </c:pt>
                <c:pt idx="2">
                  <c:v>2026. gada prognoze</c:v>
                </c:pt>
                <c:pt idx="3">
                  <c:v>2027. gada prognoze</c:v>
                </c:pt>
              </c:strCache>
            </c:strRef>
          </c:cat>
          <c:val>
            <c:numRef>
              <c:f>spec.budzets!$C$23:$F$23</c:f>
              <c:numCache>
                <c:formatCode>#\ ##0.0</c:formatCode>
                <c:ptCount val="4"/>
                <c:pt idx="0">
                  <c:v>3171.2813849999998</c:v>
                </c:pt>
                <c:pt idx="1">
                  <c:v>3456.1854469999998</c:v>
                </c:pt>
                <c:pt idx="2">
                  <c:v>3771.687336</c:v>
                </c:pt>
                <c:pt idx="3">
                  <c:v>4032.4660119999999</c:v>
                </c:pt>
              </c:numCache>
            </c:numRef>
          </c:val>
          <c:extLst>
            <c:ext xmlns:c16="http://schemas.microsoft.com/office/drawing/2014/chart" uri="{C3380CC4-5D6E-409C-BE32-E72D297353CC}">
              <c16:uniqueId val="{00000000-24B1-4A76-832F-A815CE3950E1}"/>
            </c:ext>
          </c:extLst>
        </c:ser>
        <c:ser>
          <c:idx val="1"/>
          <c:order val="1"/>
          <c:tx>
            <c:strRef>
              <c:f>spec.budzets!$B$24</c:f>
              <c:strCache>
                <c:ptCount val="1"/>
                <c:pt idx="0">
                  <c:v>Invaliditātes, maternitātes un slimības speciālais budžets</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w="9525" cap="flat" cmpd="sng" algn="ctr">
              <a:solidFill>
                <a:schemeClr val="accent3">
                  <a:shade val="95000"/>
                  <a:satMod val="105000"/>
                </a:schemeClr>
              </a:solidFill>
              <a:prstDash val="solid"/>
            </a:ln>
            <a:effectLst>
              <a:outerShdw blurRad="40000" dist="23000" dir="5400000" rotWithShape="0">
                <a:srgbClr val="000000">
                  <a:alpha val="35000"/>
                </a:srgbClr>
              </a:outerShdw>
            </a:effectLst>
          </c:spPr>
          <c:invertIfNegative val="0"/>
          <c:dLbls>
            <c:spPr>
              <a:noFill/>
              <a:ln>
                <a:noFill/>
              </a:ln>
              <a:effectLst/>
            </c:spPr>
            <c:txPr>
              <a:bodyPr rot="-5400000" spcFirstLastPara="1" vertOverflow="ellipsis" wrap="square" lIns="38100" tIns="19050" rIns="38100" bIns="19050" anchor="ctr" anchorCtr="1">
                <a:spAutoFit/>
              </a:bodyPr>
              <a:lstStyle/>
              <a:p>
                <a:pPr>
                  <a:defRPr sz="11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spec.budzets!$C$22:$F$22</c:f>
              <c:strCache>
                <c:ptCount val="4"/>
                <c:pt idx="0">
                  <c:v>2024. gada plāns</c:v>
                </c:pt>
                <c:pt idx="1">
                  <c:v>2025. gada projekts</c:v>
                </c:pt>
                <c:pt idx="2">
                  <c:v>2026. gada prognoze</c:v>
                </c:pt>
                <c:pt idx="3">
                  <c:v>2027. gada prognoze</c:v>
                </c:pt>
              </c:strCache>
            </c:strRef>
          </c:cat>
          <c:val>
            <c:numRef>
              <c:f>spec.budzets!$C$24:$F$24</c:f>
              <c:numCache>
                <c:formatCode>#\ ##0.0</c:formatCode>
                <c:ptCount val="4"/>
                <c:pt idx="0">
                  <c:v>864.36170300000003</c:v>
                </c:pt>
                <c:pt idx="1">
                  <c:v>944.50999000000002</c:v>
                </c:pt>
                <c:pt idx="2">
                  <c:v>1014.652348</c:v>
                </c:pt>
                <c:pt idx="3">
                  <c:v>1084.3804769999999</c:v>
                </c:pt>
              </c:numCache>
            </c:numRef>
          </c:val>
          <c:extLst>
            <c:ext xmlns:c16="http://schemas.microsoft.com/office/drawing/2014/chart" uri="{C3380CC4-5D6E-409C-BE32-E72D297353CC}">
              <c16:uniqueId val="{00000001-24B1-4A76-832F-A815CE3950E1}"/>
            </c:ext>
          </c:extLst>
        </c:ser>
        <c:ser>
          <c:idx val="2"/>
          <c:order val="2"/>
          <c:tx>
            <c:strRef>
              <c:f>spec.budzets!$B$25</c:f>
              <c:strCache>
                <c:ptCount val="1"/>
                <c:pt idx="0">
                  <c:v>Nodarbinātības speciālais budžets</c:v>
                </c:pt>
              </c:strCache>
            </c:strRef>
          </c:tx>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w="9525" cap="flat" cmpd="sng" algn="ctr">
              <a:solidFill>
                <a:schemeClr val="accent6">
                  <a:shade val="95000"/>
                  <a:satMod val="105000"/>
                </a:schemeClr>
              </a:solidFill>
              <a:prstDash val="solid"/>
            </a:ln>
            <a:effectLst>
              <a:outerShdw blurRad="40000" dist="23000" dir="5400000" rotWithShape="0">
                <a:srgbClr val="000000">
                  <a:alpha val="35000"/>
                </a:srgbClr>
              </a:outerShdw>
            </a:effectLst>
          </c:spPr>
          <c:invertIfNegative val="0"/>
          <c:dLbls>
            <c:spPr>
              <a:noFill/>
              <a:ln>
                <a:noFill/>
              </a:ln>
              <a:effectLst/>
            </c:spPr>
            <c:txPr>
              <a:bodyPr rot="-5400000" spcFirstLastPara="1" vertOverflow="ellipsis" wrap="square" lIns="38100" tIns="19050" rIns="38100" bIns="19050" anchor="ctr" anchorCtr="1">
                <a:spAutoFit/>
              </a:bodyPr>
              <a:lstStyle/>
              <a:p>
                <a:pPr>
                  <a:defRPr sz="11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spec.budzets!$C$22:$F$22</c:f>
              <c:strCache>
                <c:ptCount val="4"/>
                <c:pt idx="0">
                  <c:v>2024. gada plāns</c:v>
                </c:pt>
                <c:pt idx="1">
                  <c:v>2025. gada projekts</c:v>
                </c:pt>
                <c:pt idx="2">
                  <c:v>2026. gada prognoze</c:v>
                </c:pt>
                <c:pt idx="3">
                  <c:v>2027. gada prognoze</c:v>
                </c:pt>
              </c:strCache>
            </c:strRef>
          </c:cat>
          <c:val>
            <c:numRef>
              <c:f>spec.budzets!$C$25:$F$25</c:f>
              <c:numCache>
                <c:formatCode>#\ ##0.0</c:formatCode>
                <c:ptCount val="4"/>
                <c:pt idx="0">
                  <c:v>182.35799800000001</c:v>
                </c:pt>
                <c:pt idx="1">
                  <c:v>204.12006199999999</c:v>
                </c:pt>
                <c:pt idx="2">
                  <c:v>216.40292099999999</c:v>
                </c:pt>
                <c:pt idx="3">
                  <c:v>215.83649600000001</c:v>
                </c:pt>
              </c:numCache>
            </c:numRef>
          </c:val>
          <c:extLst>
            <c:ext xmlns:c16="http://schemas.microsoft.com/office/drawing/2014/chart" uri="{C3380CC4-5D6E-409C-BE32-E72D297353CC}">
              <c16:uniqueId val="{00000002-24B1-4A76-832F-A815CE3950E1}"/>
            </c:ext>
          </c:extLst>
        </c:ser>
        <c:ser>
          <c:idx val="3"/>
          <c:order val="3"/>
          <c:tx>
            <c:strRef>
              <c:f>spec.budzets!$B$26</c:f>
              <c:strCache>
                <c:ptCount val="1"/>
                <c:pt idx="0">
                  <c:v>Darba negadījumu speciālais budžets</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w="9525" cap="flat" cmpd="sng" algn="ctr">
              <a:solidFill>
                <a:schemeClr val="accent1">
                  <a:shade val="95000"/>
                  <a:satMod val="105000"/>
                </a:schemeClr>
              </a:solidFill>
              <a:prstDash val="solid"/>
            </a:ln>
            <a:effectLst>
              <a:outerShdw blurRad="40000" dist="23000" dir="5400000" rotWithShape="0">
                <a:srgbClr val="000000">
                  <a:alpha val="35000"/>
                </a:srgbClr>
              </a:outerShdw>
            </a:effectLst>
          </c:spPr>
          <c:invertIfNegative val="0"/>
          <c:dLbls>
            <c:spPr>
              <a:noFill/>
              <a:ln>
                <a:noFill/>
              </a:ln>
              <a:effectLst/>
            </c:spPr>
            <c:txPr>
              <a:bodyPr rot="-5400000" spcFirstLastPara="1" vertOverflow="ellipsis" wrap="square" lIns="38100" tIns="19050" rIns="38100" bIns="19050" anchor="ctr" anchorCtr="1">
                <a:spAutoFit/>
              </a:bodyPr>
              <a:lstStyle/>
              <a:p>
                <a:pPr>
                  <a:defRPr sz="11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spec.budzets!$C$22:$F$22</c:f>
              <c:strCache>
                <c:ptCount val="4"/>
                <c:pt idx="0">
                  <c:v>2024. gada plāns</c:v>
                </c:pt>
                <c:pt idx="1">
                  <c:v>2025. gada projekts</c:v>
                </c:pt>
                <c:pt idx="2">
                  <c:v>2026. gada prognoze</c:v>
                </c:pt>
                <c:pt idx="3">
                  <c:v>2027. gada prognoze</c:v>
                </c:pt>
              </c:strCache>
            </c:strRef>
          </c:cat>
          <c:val>
            <c:numRef>
              <c:f>spec.budzets!$C$26:$F$26</c:f>
              <c:numCache>
                <c:formatCode>#\ ##0.0</c:formatCode>
                <c:ptCount val="4"/>
                <c:pt idx="0">
                  <c:v>106.883268</c:v>
                </c:pt>
                <c:pt idx="1">
                  <c:v>110.03131399999999</c:v>
                </c:pt>
                <c:pt idx="2">
                  <c:v>123.42285699999999</c:v>
                </c:pt>
                <c:pt idx="3">
                  <c:v>137.835418</c:v>
                </c:pt>
              </c:numCache>
            </c:numRef>
          </c:val>
          <c:extLst>
            <c:ext xmlns:c16="http://schemas.microsoft.com/office/drawing/2014/chart" uri="{C3380CC4-5D6E-409C-BE32-E72D297353CC}">
              <c16:uniqueId val="{00000003-24B1-4A76-832F-A815CE3950E1}"/>
            </c:ext>
          </c:extLst>
        </c:ser>
        <c:ser>
          <c:idx val="4"/>
          <c:order val="4"/>
          <c:tx>
            <c:strRef>
              <c:f>spec.budzets!$B$27</c:f>
              <c:strCache>
                <c:ptCount val="1"/>
                <c:pt idx="0">
                  <c:v>VSAA speciālais budžets</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w="9525" cap="flat" cmpd="sng" algn="ctr">
              <a:solidFill>
                <a:schemeClr val="accent2">
                  <a:shade val="95000"/>
                  <a:satMod val="105000"/>
                </a:schemeClr>
              </a:solidFill>
              <a:prstDash val="solid"/>
            </a:ln>
            <a:effectLst>
              <a:outerShdw blurRad="40000" dist="23000" dir="5400000" rotWithShape="0">
                <a:srgbClr val="000000">
                  <a:alpha val="35000"/>
                </a:srgbClr>
              </a:outerShdw>
            </a:effectLst>
          </c:spPr>
          <c:invertIfNegative val="0"/>
          <c:dLbls>
            <c:spPr>
              <a:noFill/>
              <a:ln>
                <a:noFill/>
              </a:ln>
              <a:effectLst/>
            </c:spPr>
            <c:txPr>
              <a:bodyPr rot="-5400000" spcFirstLastPara="1" vertOverflow="ellipsis" wrap="square" lIns="38100" tIns="19050" rIns="38100" bIns="19050" anchor="ctr" anchorCtr="1">
                <a:spAutoFit/>
              </a:bodyPr>
              <a:lstStyle/>
              <a:p>
                <a:pPr>
                  <a:defRPr sz="11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spec.budzets!$C$22:$F$22</c:f>
              <c:strCache>
                <c:ptCount val="4"/>
                <c:pt idx="0">
                  <c:v>2024. gada plāns</c:v>
                </c:pt>
                <c:pt idx="1">
                  <c:v>2025. gada projekts</c:v>
                </c:pt>
                <c:pt idx="2">
                  <c:v>2026. gada prognoze</c:v>
                </c:pt>
                <c:pt idx="3">
                  <c:v>2027. gada prognoze</c:v>
                </c:pt>
              </c:strCache>
            </c:strRef>
          </c:cat>
          <c:val>
            <c:numRef>
              <c:f>spec.budzets!$C$27:$F$27</c:f>
              <c:numCache>
                <c:formatCode>#\ ##0.0</c:formatCode>
                <c:ptCount val="4"/>
                <c:pt idx="0">
                  <c:v>27.650490999999999</c:v>
                </c:pt>
                <c:pt idx="1">
                  <c:v>28.795670000000001</c:v>
                </c:pt>
                <c:pt idx="2">
                  <c:v>29.083994000000001</c:v>
                </c:pt>
                <c:pt idx="3">
                  <c:v>29.885427</c:v>
                </c:pt>
              </c:numCache>
            </c:numRef>
          </c:val>
          <c:extLst>
            <c:ext xmlns:c16="http://schemas.microsoft.com/office/drawing/2014/chart" uri="{C3380CC4-5D6E-409C-BE32-E72D297353CC}">
              <c16:uniqueId val="{00000004-24B1-4A76-832F-A815CE3950E1}"/>
            </c:ext>
          </c:extLst>
        </c:ser>
        <c:dLbls>
          <c:showLegendKey val="0"/>
          <c:showVal val="0"/>
          <c:showCatName val="0"/>
          <c:showSerName val="0"/>
          <c:showPercent val="0"/>
          <c:showBubbleSize val="0"/>
        </c:dLbls>
        <c:gapWidth val="100"/>
        <c:axId val="282340288"/>
        <c:axId val="423904016"/>
      </c:barChart>
      <c:catAx>
        <c:axId val="2823402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423904016"/>
        <c:crosses val="autoZero"/>
        <c:auto val="1"/>
        <c:lblAlgn val="ctr"/>
        <c:lblOffset val="100"/>
        <c:noMultiLvlLbl val="0"/>
      </c:catAx>
      <c:valAx>
        <c:axId val="42390401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282340288"/>
        <c:crosses val="autoZero"/>
        <c:crossBetween val="between"/>
      </c:valAx>
      <c:spPr>
        <a:noFill/>
        <a:ln>
          <a:noFill/>
        </a:ln>
        <a:effectLst/>
      </c:spPr>
    </c:plotArea>
    <c:legend>
      <c:legendPos val="b"/>
      <c:layout>
        <c:manualLayout>
          <c:xMode val="edge"/>
          <c:yMode val="edge"/>
          <c:x val="1.1042808119275056E-2"/>
          <c:y val="0.82495433852193112"/>
          <c:w val="0.98136288232454949"/>
          <c:h val="0.17504566147806888"/>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lv-LV"/>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0.11019</cdr:x>
      <cdr:y>0.03858</cdr:y>
    </cdr:from>
    <cdr:to>
      <cdr:x>0.23416</cdr:x>
      <cdr:y>0.1074</cdr:y>
    </cdr:to>
    <cdr:sp macro="" textlink="">
      <cdr:nvSpPr>
        <cdr:cNvPr id="2" name="TextBox 1"/>
        <cdr:cNvSpPr txBox="1"/>
      </cdr:nvSpPr>
      <cdr:spPr>
        <a:xfrm xmlns:a="http://schemas.openxmlformats.org/drawingml/2006/main">
          <a:off x="762000" y="176214"/>
          <a:ext cx="857250" cy="3143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lv-LV" sz="1100"/>
        </a:p>
      </cdr:txBody>
    </cdr:sp>
  </cdr:relSizeAnchor>
  <cdr:relSizeAnchor xmlns:cdr="http://schemas.openxmlformats.org/drawingml/2006/chartDrawing">
    <cdr:from>
      <cdr:x>0.11942</cdr:x>
      <cdr:y>0.06048</cdr:y>
    </cdr:from>
    <cdr:to>
      <cdr:x>0.26906</cdr:x>
      <cdr:y>0.15501</cdr:y>
    </cdr:to>
    <cdr:sp macro="" textlink="">
      <cdr:nvSpPr>
        <cdr:cNvPr id="4" name="Rectangle 3"/>
        <cdr:cNvSpPr/>
      </cdr:nvSpPr>
      <cdr:spPr>
        <a:xfrm xmlns:a="http://schemas.openxmlformats.org/drawingml/2006/main">
          <a:off x="790553" y="201100"/>
          <a:ext cx="990598" cy="314342"/>
        </a:xfrm>
        <a:prstGeom xmlns:a="http://schemas.openxmlformats.org/drawingml/2006/main" prst="rect">
          <a:avLst/>
        </a:prstGeom>
        <a:solidFill xmlns:a="http://schemas.openxmlformats.org/drawingml/2006/main">
          <a:schemeClr val="bg1"/>
        </a:solidFill>
        <a:ln xmlns:a="http://schemas.openxmlformats.org/drawingml/2006/main" w="9525">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pPr algn="ctr"/>
          <a:r>
            <a:rPr lang="lv-LV" sz="1200" b="1">
              <a:solidFill>
                <a:sysClr val="windowText" lastClr="000000"/>
              </a:solidFill>
              <a:latin typeface="Times New Roman" panose="02020603050405020304" pitchFamily="18" charset="0"/>
              <a:cs typeface="Times New Roman" panose="02020603050405020304" pitchFamily="18" charset="0"/>
            </a:rPr>
            <a:t>12 155,7 </a:t>
          </a:r>
        </a:p>
      </cdr:txBody>
    </cdr:sp>
  </cdr:relSizeAnchor>
  <cdr:relSizeAnchor xmlns:cdr="http://schemas.openxmlformats.org/drawingml/2006/chartDrawing">
    <cdr:from>
      <cdr:x>0.34436</cdr:x>
      <cdr:y>0.04679</cdr:y>
    </cdr:from>
    <cdr:to>
      <cdr:x>0.494</cdr:x>
      <cdr:y>0.14131</cdr:y>
    </cdr:to>
    <cdr:sp macro="" textlink="">
      <cdr:nvSpPr>
        <cdr:cNvPr id="5" name="Rectangle 4"/>
        <cdr:cNvSpPr/>
      </cdr:nvSpPr>
      <cdr:spPr>
        <a:xfrm xmlns:a="http://schemas.openxmlformats.org/drawingml/2006/main">
          <a:off x="2279650" y="155575"/>
          <a:ext cx="990600" cy="314325"/>
        </a:xfrm>
        <a:prstGeom xmlns:a="http://schemas.openxmlformats.org/drawingml/2006/main" prst="rect">
          <a:avLst/>
        </a:prstGeom>
        <a:solidFill xmlns:a="http://schemas.openxmlformats.org/drawingml/2006/main">
          <a:schemeClr val="bg1"/>
        </a:solidFill>
        <a:ln xmlns:a="http://schemas.openxmlformats.org/drawingml/2006/main" w="9525">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lv-LV" sz="1200" b="1">
              <a:solidFill>
                <a:sysClr val="windowText" lastClr="000000"/>
              </a:solidFill>
              <a:latin typeface="Times New Roman" panose="02020603050405020304" pitchFamily="18" charset="0"/>
              <a:cs typeface="Times New Roman" panose="02020603050405020304" pitchFamily="18" charset="0"/>
            </a:rPr>
            <a:t>12 679,4</a:t>
          </a:r>
        </a:p>
      </cdr:txBody>
    </cdr:sp>
  </cdr:relSizeAnchor>
  <cdr:relSizeAnchor xmlns:cdr="http://schemas.openxmlformats.org/drawingml/2006/chartDrawing">
    <cdr:from>
      <cdr:x>0.57314</cdr:x>
      <cdr:y>0.04679</cdr:y>
    </cdr:from>
    <cdr:to>
      <cdr:x>0.72278</cdr:x>
      <cdr:y>0.14131</cdr:y>
    </cdr:to>
    <cdr:sp macro="" textlink="">
      <cdr:nvSpPr>
        <cdr:cNvPr id="6" name="Rectangle 5"/>
        <cdr:cNvSpPr/>
      </cdr:nvSpPr>
      <cdr:spPr>
        <a:xfrm xmlns:a="http://schemas.openxmlformats.org/drawingml/2006/main">
          <a:off x="3794108" y="155585"/>
          <a:ext cx="990598" cy="314308"/>
        </a:xfrm>
        <a:prstGeom xmlns:a="http://schemas.openxmlformats.org/drawingml/2006/main" prst="rect">
          <a:avLst/>
        </a:prstGeom>
        <a:solidFill xmlns:a="http://schemas.openxmlformats.org/drawingml/2006/main">
          <a:schemeClr val="bg1"/>
        </a:solidFill>
        <a:ln xmlns:a="http://schemas.openxmlformats.org/drawingml/2006/main" w="9525">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lv-LV" sz="1200" b="1">
              <a:solidFill>
                <a:sysClr val="windowText" lastClr="000000"/>
              </a:solidFill>
              <a:latin typeface="Times New Roman" panose="02020603050405020304" pitchFamily="18" charset="0"/>
              <a:cs typeface="Times New Roman" panose="02020603050405020304" pitchFamily="18" charset="0"/>
            </a:rPr>
            <a:t>12 525,4</a:t>
          </a:r>
        </a:p>
      </cdr:txBody>
    </cdr:sp>
  </cdr:relSizeAnchor>
  <cdr:relSizeAnchor xmlns:cdr="http://schemas.openxmlformats.org/drawingml/2006/chartDrawing">
    <cdr:from>
      <cdr:x>0.7976</cdr:x>
      <cdr:y>0.06397</cdr:y>
    </cdr:from>
    <cdr:to>
      <cdr:x>0.94724</cdr:x>
      <cdr:y>0.1585</cdr:y>
    </cdr:to>
    <cdr:sp macro="" textlink="">
      <cdr:nvSpPr>
        <cdr:cNvPr id="7" name="Rectangle 6"/>
        <cdr:cNvSpPr/>
      </cdr:nvSpPr>
      <cdr:spPr>
        <a:xfrm xmlns:a="http://schemas.openxmlformats.org/drawingml/2006/main">
          <a:off x="5280025" y="212725"/>
          <a:ext cx="990600" cy="314325"/>
        </a:xfrm>
        <a:prstGeom xmlns:a="http://schemas.openxmlformats.org/drawingml/2006/main" prst="rect">
          <a:avLst/>
        </a:prstGeom>
        <a:solidFill xmlns:a="http://schemas.openxmlformats.org/drawingml/2006/main">
          <a:schemeClr val="bg1"/>
        </a:solidFill>
        <a:ln xmlns:a="http://schemas.openxmlformats.org/drawingml/2006/main" w="9525">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lv-LV" sz="1200" b="1">
              <a:solidFill>
                <a:sysClr val="windowText" lastClr="000000"/>
              </a:solidFill>
              <a:latin typeface="Times New Roman" panose="02020603050405020304" pitchFamily="18" charset="0"/>
              <a:cs typeface="Times New Roman" panose="02020603050405020304" pitchFamily="18" charset="0"/>
            </a:rPr>
            <a:t>11 963,2</a:t>
          </a:r>
        </a:p>
      </cdr:txBody>
    </cdr:sp>
  </cdr:relSizeAnchor>
</c:userShapes>
</file>

<file path=word/drawings/drawing2.xml><?xml version="1.0" encoding="utf-8"?>
<c:userShapes xmlns:c="http://schemas.openxmlformats.org/drawingml/2006/chart">
  <cdr:relSizeAnchor xmlns:cdr="http://schemas.openxmlformats.org/drawingml/2006/chartDrawing">
    <cdr:from>
      <cdr:x>0.11741</cdr:x>
      <cdr:y>0.03246</cdr:y>
    </cdr:from>
    <cdr:to>
      <cdr:x>0.24292</cdr:x>
      <cdr:y>0.09948</cdr:y>
    </cdr:to>
    <cdr:sp macro="" textlink="">
      <cdr:nvSpPr>
        <cdr:cNvPr id="2" name="TextBox 1"/>
        <cdr:cNvSpPr txBox="1"/>
      </cdr:nvSpPr>
      <cdr:spPr>
        <a:xfrm xmlns:a="http://schemas.openxmlformats.org/drawingml/2006/main">
          <a:off x="828676" y="147639"/>
          <a:ext cx="885825" cy="3048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lv-LV" sz="1100"/>
        </a:p>
      </cdr:txBody>
    </cdr:sp>
  </cdr:relSizeAnchor>
  <cdr:relSizeAnchor xmlns:cdr="http://schemas.openxmlformats.org/drawingml/2006/chartDrawing">
    <cdr:from>
      <cdr:x>0.33471</cdr:x>
      <cdr:y>0.12376</cdr:y>
    </cdr:from>
    <cdr:to>
      <cdr:x>0.48751</cdr:x>
      <cdr:y>0.20326</cdr:y>
    </cdr:to>
    <cdr:sp macro="" textlink="">
      <cdr:nvSpPr>
        <cdr:cNvPr id="6" name="Rectangle 5"/>
        <cdr:cNvSpPr/>
      </cdr:nvSpPr>
      <cdr:spPr>
        <a:xfrm xmlns:a="http://schemas.openxmlformats.org/drawingml/2006/main">
          <a:off x="1927960" y="407864"/>
          <a:ext cx="880141" cy="262004"/>
        </a:xfrm>
        <a:prstGeom xmlns:a="http://schemas.openxmlformats.org/drawingml/2006/main" prst="rect">
          <a:avLst/>
        </a:prstGeom>
        <a:solidFill xmlns:a="http://schemas.openxmlformats.org/drawingml/2006/main">
          <a:schemeClr val="bg1"/>
        </a:solidFill>
        <a:ln xmlns:a="http://schemas.openxmlformats.org/drawingml/2006/main" w="9525">
          <a:solidFill>
            <a:sysClr val="windowText" lastClr="00000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lv-LV" sz="1200" b="1">
              <a:solidFill>
                <a:schemeClr val="tx1"/>
              </a:solidFill>
              <a:latin typeface="Times New Roman" panose="02020603050405020304" pitchFamily="18" charset="0"/>
              <a:cs typeface="Times New Roman" panose="02020603050405020304" pitchFamily="18" charset="0"/>
            </a:rPr>
            <a:t>4 743,6 </a:t>
          </a:r>
        </a:p>
      </cdr:txBody>
    </cdr:sp>
  </cdr:relSizeAnchor>
  <cdr:relSizeAnchor xmlns:cdr="http://schemas.openxmlformats.org/drawingml/2006/chartDrawing">
    <cdr:from>
      <cdr:x>0.77592</cdr:x>
      <cdr:y>0.02779</cdr:y>
    </cdr:from>
    <cdr:to>
      <cdr:x>0.92872</cdr:x>
      <cdr:y>0.1073</cdr:y>
    </cdr:to>
    <cdr:sp macro="" textlink="">
      <cdr:nvSpPr>
        <cdr:cNvPr id="7" name="Rectangle 6"/>
        <cdr:cNvSpPr/>
      </cdr:nvSpPr>
      <cdr:spPr>
        <a:xfrm xmlns:a="http://schemas.openxmlformats.org/drawingml/2006/main">
          <a:off x="4469343" y="91598"/>
          <a:ext cx="880141" cy="262037"/>
        </a:xfrm>
        <a:prstGeom xmlns:a="http://schemas.openxmlformats.org/drawingml/2006/main" prst="rect">
          <a:avLst/>
        </a:prstGeom>
        <a:solidFill xmlns:a="http://schemas.openxmlformats.org/drawingml/2006/main">
          <a:schemeClr val="bg1"/>
        </a:solidFill>
        <a:ln xmlns:a="http://schemas.openxmlformats.org/drawingml/2006/main" w="9525">
          <a:solidFill>
            <a:sysClr val="windowText" lastClr="00000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lv-LV" sz="1200" b="1">
              <a:solidFill>
                <a:schemeClr val="tx1"/>
              </a:solidFill>
              <a:latin typeface="Times New Roman" panose="02020603050405020304" pitchFamily="18" charset="0"/>
              <a:cs typeface="Times New Roman" panose="02020603050405020304" pitchFamily="18" charset="0"/>
            </a:rPr>
            <a:t>5 500,4 </a:t>
          </a:r>
        </a:p>
      </cdr:txBody>
    </cdr:sp>
  </cdr:relSizeAnchor>
  <cdr:relSizeAnchor xmlns:cdr="http://schemas.openxmlformats.org/drawingml/2006/chartDrawing">
    <cdr:from>
      <cdr:x>0.555</cdr:x>
      <cdr:y>0.06492</cdr:y>
    </cdr:from>
    <cdr:to>
      <cdr:x>0.7078</cdr:x>
      <cdr:y>0.14443</cdr:y>
    </cdr:to>
    <cdr:sp macro="" textlink="">
      <cdr:nvSpPr>
        <cdr:cNvPr id="8" name="Rectangle 7"/>
        <cdr:cNvSpPr/>
      </cdr:nvSpPr>
      <cdr:spPr>
        <a:xfrm xmlns:a="http://schemas.openxmlformats.org/drawingml/2006/main">
          <a:off x="3196840" y="213949"/>
          <a:ext cx="880141" cy="262037"/>
        </a:xfrm>
        <a:prstGeom xmlns:a="http://schemas.openxmlformats.org/drawingml/2006/main" prst="rect">
          <a:avLst/>
        </a:prstGeom>
        <a:solidFill xmlns:a="http://schemas.openxmlformats.org/drawingml/2006/main">
          <a:schemeClr val="bg1"/>
        </a:solidFill>
        <a:ln xmlns:a="http://schemas.openxmlformats.org/drawingml/2006/main" w="9525">
          <a:solidFill>
            <a:sysClr val="windowText" lastClr="00000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lv-LV" sz="1200" b="1">
              <a:solidFill>
                <a:schemeClr val="tx1"/>
              </a:solidFill>
              <a:latin typeface="Times New Roman" panose="02020603050405020304" pitchFamily="18" charset="0"/>
              <a:cs typeface="Times New Roman" panose="02020603050405020304" pitchFamily="18" charset="0"/>
            </a:rPr>
            <a:t>5 155,2 </a:t>
          </a:r>
        </a:p>
      </cdr:txBody>
    </cdr:sp>
  </cdr:relSizeAnchor>
  <cdr:relSizeAnchor xmlns:cdr="http://schemas.openxmlformats.org/drawingml/2006/chartDrawing">
    <cdr:from>
      <cdr:x>0.09999</cdr:x>
      <cdr:y>0.16199</cdr:y>
    </cdr:from>
    <cdr:to>
      <cdr:x>0.25279</cdr:x>
      <cdr:y>0.2415</cdr:y>
    </cdr:to>
    <cdr:sp macro="" textlink="">
      <cdr:nvSpPr>
        <cdr:cNvPr id="9" name="Rectangle 8"/>
        <cdr:cNvSpPr/>
      </cdr:nvSpPr>
      <cdr:spPr>
        <a:xfrm xmlns:a="http://schemas.openxmlformats.org/drawingml/2006/main">
          <a:off x="575953" y="533860"/>
          <a:ext cx="880141" cy="262037"/>
        </a:xfrm>
        <a:prstGeom xmlns:a="http://schemas.openxmlformats.org/drawingml/2006/main" prst="rect">
          <a:avLst/>
        </a:prstGeom>
        <a:solidFill xmlns:a="http://schemas.openxmlformats.org/drawingml/2006/main">
          <a:schemeClr val="bg1"/>
        </a:solidFill>
        <a:ln xmlns:a="http://schemas.openxmlformats.org/drawingml/2006/main" w="9525">
          <a:solidFill>
            <a:sysClr val="windowText" lastClr="00000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marL="0" marR="0" lvl="0" indent="0" algn="ctr" defTabSz="914400" eaLnBrk="1" fontAlgn="auto" latinLnBrk="0" hangingPunct="1">
            <a:lnSpc>
              <a:spcPct val="100000"/>
            </a:lnSpc>
            <a:spcBef>
              <a:spcPts val="0"/>
            </a:spcBef>
            <a:spcAft>
              <a:spcPts val="0"/>
            </a:spcAft>
            <a:buClrTx/>
            <a:buSzTx/>
            <a:buFontTx/>
            <a:buNone/>
            <a:tabLst/>
            <a:defRPr/>
          </a:pPr>
          <a:r>
            <a:rPr lang="lv-LV" sz="1100" b="1">
              <a:solidFill>
                <a:sysClr val="windowText" lastClr="000000"/>
              </a:solidFill>
              <a:effectLst/>
              <a:latin typeface="+mn-lt"/>
              <a:ea typeface="+mn-ea"/>
              <a:cs typeface="+mn-cs"/>
            </a:rPr>
            <a:t>4</a:t>
          </a:r>
          <a:r>
            <a:rPr lang="lv-LV" sz="1100" b="1" baseline="0">
              <a:solidFill>
                <a:sysClr val="windowText" lastClr="000000"/>
              </a:solidFill>
              <a:effectLst/>
              <a:latin typeface="+mn-lt"/>
              <a:ea typeface="+mn-ea"/>
              <a:cs typeface="+mn-cs"/>
            </a:rPr>
            <a:t> </a:t>
          </a:r>
          <a:r>
            <a:rPr lang="lv-LV" sz="1200" b="1" baseline="0">
              <a:solidFill>
                <a:sysClr val="windowText" lastClr="000000"/>
              </a:solidFill>
              <a:effectLst/>
              <a:latin typeface="Times New Roman" panose="02020603050405020304" pitchFamily="18" charset="0"/>
              <a:ea typeface="+mn-ea"/>
              <a:cs typeface="Times New Roman" panose="02020603050405020304" pitchFamily="18" charset="0"/>
            </a:rPr>
            <a:t>352,5</a:t>
          </a:r>
          <a:endParaRPr lang="lv-LV" sz="1200">
            <a:solidFill>
              <a:sysClr val="windowText" lastClr="000000"/>
            </a:solidFill>
            <a:effectLst/>
            <a:latin typeface="Times New Roman" panose="02020603050405020304" pitchFamily="18" charset="0"/>
            <a:cs typeface="Times New Roman" panose="02020603050405020304" pitchFamily="18"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427AB-52B9-436B-86C1-A8ED7785E14F}">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144</TotalTime>
  <Pages>8</Pages>
  <Words>2758</Words>
  <Characters>20253</Characters>
  <Application>Microsoft Office Word</Application>
  <DocSecurity>0</DocSecurity>
  <Lines>168</Lines>
  <Paragraphs>45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"Par valsts budžetu 2023. gadam un budžeta ietvaru 2023., 2024. un 2025. gadam" paskaidrojumi,5.3.nodaļa Izdevumu politikas virzienu un izdevumu atbilstoši funkcionālajām un ekonomiskajām kategorijām kopsavilkums</vt:lpstr>
      <vt:lpstr>Likumprojekta „Par valsts budžetu 2010. gadam“ paskaidrojumi. 5.3.  nodaļa. Valsts pamatbudžeta un speciālā budžeta izdevumi</vt:lpstr>
    </vt:vector>
  </TitlesOfParts>
  <Manager/>
  <Company>Finanšu ministrija</Company>
  <LinksUpToDate>false</LinksUpToDate>
  <CharactersWithSpaces>22966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2025. gadam un budžeta ietvaru 2025., 2026. un 2027. gadam" paskaidrojumi, 5.3.nodaļa Izdevumu politikas virzienu un izdevumu atbilstoši funkcionālajām un ekonomiskajām kategorijām kopsavilkums</dc:title>
  <dc:subject>paskaidrojuma raksts</dc:subject>
  <dc:creator>zane.barkovska@fm.gov.lv</dc:creator>
  <cp:keywords/>
  <dc:description>27303190 zane.barkovska@fm.gov.lv</dc:description>
  <cp:lastModifiedBy>Zane Barkovska</cp:lastModifiedBy>
  <cp:revision>51</cp:revision>
  <cp:lastPrinted>2019-04-29T15:46:00Z</cp:lastPrinted>
  <dcterms:created xsi:type="dcterms:W3CDTF">2019-05-07T12:06:00Z</dcterms:created>
  <dcterms:modified xsi:type="dcterms:W3CDTF">2024-10-10T10:44:00Z</dcterms:modified>
</cp:coreProperties>
</file>