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25-TA-1834: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"Sabiedrības veselības pamatnostādņu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īstenošanas vidusposma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2021.-2024.gadam novērtējums"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Nr.1 "Politikas rezultāti un rezultatīvie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Hospiss Māja - 02.09.2025.)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77.lpp – “Paredzēts, ka arī turpmākajos gados tiks turpināts darbs pie paliatīvās aprūpes pakalpojumu pilnveides, kontekstā arī ar Valsts kontroles veikto revīziju “Vai paliatīvā aprūpe ir pilnvērtīga veselības aprūpes sastāvdaļa?” un sniegtajiem priekšlikumiem, lai nodrošinātu dzīves noslēguma aprūpi tiem pacientiem, kuru vajadzības pārsniedz tradicionālās ambulatorās vai mājas aprūpes ietvarus.”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konkretizēt ar kādiem pasākumiem, kādām iniciatīvām darbs pie paliatīvās aprūpes pakalpojumu pilnveides tiks turpināts, īpaši ņemot vērā ziņojuma secinājumos minēto, ka pamatnostādnes uzskatāmas par neīstenotām trūkstošā finansējuma dēļ. Ziņojumā iekļautajam apgalvojuma par darbu turpināšanas nav faktiska seguma, ja nav dalījumā pa gadiem norādīti konkrēti veicamie pasākumi un tiem pieejamais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veselības pamatnostādņu 2021.–2027. gadam īstenošanas vidusposma novērtējums par 2021.–2024. gadu nav plānošanas dokuments, tādēļ tajā nav ietverti konkrēti veicamie pasākumi un tiem paredzētais finansējums. Plānotie pasākumi paliatīvās aprūpes pakalpojumu pieejamības nodrošināšanai ir iekļauti Ministru kabineta 2020. gada 15. decembra rīkojumā Nr. 774 "Par konceptuālo ziņojumu 'Par situāciju paliatīvajā aprūpē Latvijā un nepieciešamajām izmaiņām paliatīvās aprūpes pakalpojumu pieejamības nodrošināšanā'."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Nr.1 "Politikas rezultāti un rezultatīvie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Hospiss Māja - 02.09.2025.)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.lpp – “2023. gadā izveidota starpsektoru darba grupa hospisa aprūpes modeļa izstrādei, kurā sadarbojas VM, LM, Latvijas Pašvaldību savienība, Rīgas dome un nozares eksperti”. Būtu saprotamāk, ja tiktu precīzāk norādīts kādas organizācijas pārstāv nozares eksperti.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Izteikts šādā redakcijā: "2023. gadā izveidota starpsektoru darba grupa hospisa aprūpes modeļa izstrādei, kurā sadarbojas VM, LM, Latvijas Pašvaldību savienība, Rīgas dome un nozares eksperti (ārstniecības iestāžu pārstāvji, medicīnas māsas u.c.)."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Nr.1 "Politikas rezultāti un rezultatīvie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Hospiss Māja - 02.09.2025.)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76.lpp “Paliatīvās aprūpes nozīme veselības aprūpes sistēmā arvien pieaug, ņemot vērā sabiedrības novecošanos un hronisku, dzīvību ierobežojošu slimību izplatību. Tā nodrošina atbalstu pacientiem slimības vēlīnajos posmos, palīdzot mazināt ciešanas un uzlabot dzīves kvalitāti. Lai nodrošinātu savlaicīgu, profesionālu un pieejamu paliatīvo aprūpi, veselības politikas ietvaros tiek stiprināta pakalpojumu pieejamība, starpnozaru sadarbība un aprūpes procesa kvalitāte.”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mājas aprūpes pieejamību pacientiem ar smagām, progresējošām slimībām, VM uzsāka vairākus sagatavošanās darbus, tostarp iezīmējot hospisa aprūpes koncepta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konkretizēt kad uzsāka un kādus sagatavošanas darbus, kā arī iezīmējot kur hospisa aprūpes koncepta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Konkretizēta informācija ir norādīta Informatīvā ziņojuma “Sabiedrības veselības pamatnostādņu  2021.- 2027.gadam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īstenošanas vidusposma novērtējums” Pielikumā Nr.2  "Sabiedrības veselības pamatnostādņu 2021.-2027.gadam uzdevumu izpilde no 2021.gada – 2024.gada" pie uzdevuma Nr.3.2.5. "Attīstīt paliatīvās aprūpes pakalpojumus un uzlabot to pieejamību" (332.lp) un tā apakšuzdevumu izpildes.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teksts,  izteikts sekojošā redakcijā: “Lai uzlabotu mājas aprūpes pieejamību pacientiem ar smagām, progresējošām slimībām, NVD 2023.gadā rīkoja veselības aprūpes pakalpojumu sniedzēju atlasi “Paliatīvās aprūpes mobilās komandas pakalpojumi pacienta dzīvesvietā” pakalpojumu sniegšanai no 2024.gada 1.janvāra līdz 2028.gada 31.decembrim. VM 2023.gadā izstrādāja grozījumus Ārstniecības likumā un Paliatīvās aprūpes noteikumos, lai attīstītu paliatīvās veselības aprūpes pakalpojumu atbilstoši pacientu vajadzībām, un sagatavoja informatīvo ziņojumu “Par mobilās komandas paliatīvās aprūpes pakalpojuma pacienta dzīvesvietā attīstību”</w:t>
            </w:r>
            <w:r w:rsidR="00000000" w:rsidRPr="00000000" w:rsidDel="00000000">
              <w:rPr>
                <w:vertAlign w:val="superscript"/>
                <w:rtl w:val="0"/>
              </w:rPr>
              <w:t xml:space="preserve">46</w:t>
            </w:r>
            <w:r w:rsidR="00000000" w:rsidRPr="00000000" w:rsidDel="00000000">
              <w:rPr>
                <w:rtl w:val="0"/>
              </w:rPr>
              <w:t xml:space="preserve">. LM 2024.gadā sagatavo ESF Plus projekta iesniegumu “Atbalsts paliatīvās aprūpes sistēmas pilnveidošanai”.”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Nr.1 "Politikas rezultāti un rezultatīvie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Hospiss Māja - 02.09.2025.)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lpp. “Onkoloģisko slimību agrīna diagnostika, efektīva ārstēšana un pacientu uzraudzība ir būtiski priekšnoteikumi mirstības samazināšanai un pacientu dzīves kvalitātes uzlabošanai.” Pacientu dzīves kvalitātes uzlabošanai  būtiski priekšnoteikumi ir ne tikai agrīna diagnostika, efektīva ārstēšana un uzraudzība, bet arī kvalitatīva un visaptveroša paliatīvā aprūpe gadījumos, kad ārstēšana vairs nav efektīva.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Pilnībā piekrītam, ka kvalitatīva un visaptveroša paliatīvā aprūpe ir būtisks priekšnoteikums pacientu dzīves kvalitātes uzlabošanai gadījumos, kad ārstēšana vairs nav efektīva. Vienlaikus vēlamies norādīt, ka šajā rindkopā uzmanība pievērsta tieši onkoloģisko slimību diagnostikas un ārstēšanas aspektiem, savukārt paliatīvās aprūpes jautājumi aplūkoti 2.3.5. sadaļā "Politikas rezultāts: Uzlabota veselības aprūpe paliatīvās aprūpes jomā."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Nr.1 "Politikas rezultāti un rezultatīvie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Hospiss Māja - 02.09.2025.)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lpp. “Situācija norāda uz nepieciešamību turpināt aktīvu darbu pie agrīnas diagnostikas, efektīvas ārstēšanas pieejamības un pacientu aprūpes pilnveidošanas. Lai saglabātu un pastiprinātu šo tendenci, būtiski turpināt ieguldījumus onkoloģisko pakalpojumu kvalitātes, pieejamības un sabiedrības informētības uzlabošanā”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Teikumam “Lai saglabātu un pastiprinātu šo tendenci, būtiski turpināt ieguldījumus onkoloģisko pakalpojumu kvalitātes, pieejamības un sabiedrības informētības uzlabošanā” trūkst noslēguma pieturzīme beigās.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Teikumu noslēdzam ar punktu. Izteikt sekojošā redakcijā: "Lai saglabātu un pastiprinātu šo tendenci, būtiski turpināt ieguldījumus onkoloģisko pakalpojumu kvalitātes, pieejamības un sabiedrības informētības uzlabošanā."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Nr.1 "Politikas rezultāti un rezultatīvie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Hospiss Māja - 02.09.2025.)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2021. līdz 2024. gadam veikti nozīmīgi pasākumi, lai uzlabotu onkoloģisko slimību agrīnu diagnostiku, ārstēšanas pieejamību un kvalitāti, kā arī rehabilitācijas un sociālā atbalsta pakalpojumus. Tiek pilnveidotas onkoloģijas aprūpes vadlīnijas, lai nodrošinātu mērķtiecīgu un efektīvu ārstēšanu. Šajā periodā īpaša uzmanība pievērsta arī jaunu ārstniecības metožu ieviešanai un veselības aprūpes speciālistu kapacitātes stiprināšanai, kas veicina pacientu dzīves kvalitātes uzlabošanos un mirstības samazināšanu. Ziņojumā iekļauti deklaratīvi apgalvojumi, tomēr tālāk tekstā nav skaidri un precīzi tie atšifrēti. Nepieciešams papildināt un precizēt atšifrējot, kas ir nozīmīgie veiktie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Konkretizēta informācija ir norādīta Informatīvā ziņojuma “Sabiedrības veselības pamatnostādņu  2021.- 2027.gadam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īstenošanas vidusposma novērtējums” Pielikumā Nr.2  "Sabiedrības veselības pamatnostādņu 2021.-2027.gadam uzdevumu izpilde no 2021.gada – 2024.gada" pie uzdevumiem Nr.3.1.1. "Uzlabot valsts apmaksāto ambulatoro pakalpojumu pieejamību (sasaistē ar 5.7.uzdevumu)" ,  Nr.3.1.3. "Uzlabot valsts apmaksāto stacionāro pakalpojumu pieejamību (sasaistē ar 5.6. un 5.7.uzdevumu)", Nr.3.1.4."Uzlabot kompensējamo zāļu un medicīnas ierīču pieejamību", Nr.3.1.7. "Attīstīt veselības aprūpi onkoloģijā, t.sk. hematoonkoloģijā, uzlabojot pakalpojumu pieejamību un kvalitāti, sekmēt audzēju agrīnu diagnostiku un mūsdienīgu to ārstēšanu, balstoties uz personalizētas medicīnas principiem (sasaistē ar 3.1.4.)"  un to apakšuzdevumu izpildes.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izteikt šādā redakcijā:   “Šajā periodā uzmanība pievērsta arī jaunu ārstniecības metožu ieviešanai (brahiterapija) un veselības aprūpes speciālistu kapacitātes stiprināšanai, kas veicina pacientu dzīves kvalitātes uzlabošanos un mirstības samazināšanu. Piemēram, 2021.gada izveidota jauna nekvotētā programma “Prioritārie pakalpojumi onkoloģiskiem pacientiem”, kurā ietilpst ultrasonogrāfija, magnētiskā rezonanse, dermatoveneroloģija, endoskopijas, hematoloģija, rehabilitācija, kā arī traumatoloģija, ortopēdija, rokas un rekonstruktīvā mikroķirurģija, plastiskā ķirurģija dienas stacionārā. No 2024.gada visi ambulatorie pakalpojumi šai pacientu grupai tiek sniegti virs kvotas. Tiek pilnveidotas onkoloģijas aprūpes vadlīnijas, lai nodrošinātu mērķtiecīgu un efektīvu ārstēšanu. Piemēram 2021.gadā Klīnisko vadlīniju datu bāzē reģistrēta vadlīnija: Dzemdes kakla priekšvēža slimību profilakse, diagnostika, ārstēšana un novērošana.”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Nr.1 "Politikas rezultāti un rezultatīvie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Hospiss Māja - 02.09.2025.)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68.lpp – uzlabota veselības aprūpe onkoloģijas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“Četri galvenie indikatori uzrāda uzlabojumus, kas atspoguļo.”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“2023.gadā novērojama pozitīva tendence onkoloģisko slimību agrīnā atklāšanā, kas iespējams ir saistāma ar skrīningu programmu, kurai ir pozitīva tendence Kopš 2021. gada novērojama pozitīva tendence un rādītāju pieaugums, izņemot krūts vēža skrīninga atsaucībā, kas būtiski atpaliek no 2024.gadā plānotā mērķa un kopš 2019.gada ir nevis uzlabojusies, bet pat pasliktinājusies Tomēr atsaucības un aptveres rādītāji joprojām nesasniedz EK izvirzītos mērķa rādītājus, kas liecina par nepieciešamību mērķtiecīgi pilnveidot vēža skrīninga programmas. “ 69.lpp nav pabeigts teikums: “Četri galvenie indikatori uzrāda uzlabojumus, kas atspoguļo”.  Kā arī 1.rindkopas pēdējā daļā nav ievietotas teikumu noslēgumu pieturzīmes starp teikumiem 1) kas beidzas ar vārdu ‘tendence’ un sākas ar vārdu ‘Kopš’; 2) kas beidzas ar vārdu ‘pasliktinājusies’ un  sākas ar vārdu “Tomēr”.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izteikts šādā redakcijā: "Četri galvenie indikatori uzrāda uzlabojumus." "2023.gadā novērojama pozitīva tendence onkoloģisko slimību agrīnā atklāšanā, kas iespējams ir saistāma ar skrīningu programmu, kurai ir pozitīva tendence. Kopš 2021. gada novērojama pozitīva tendence un rādītāju pieaugums, izņemot krūts vēža skrīninga atsaucībā, kas būtiski atpaliek no 2024.gadā plānotā mērķa un kopš 2019.gada ir nevis uzlabojusies, bet pat pasliktinājusies. Tomēr atsaucības un aptveres rādītāji joprojām nesasniedz EK izvirzītos mērķa rādītājus, kas liecina par nepieciešamību mērķtiecīgi pilnveidot vēža skrīninga programmas."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Nr.1 "Politikas rezultāti un rezultatīvie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Hospiss Māja - 02.09.2025.)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61.lpp analizēti 3.rīcības virziena rezultāti un paveiktie pasākumi, t.sk. paliatīvās aprūpes pieejamības uzlabošanā. Tiek minēts “tiek uzlabotas pārejas uz rehabilitāciju un sociālo aprūpi, it īpaši vecāka gada gājuma cilvēkiem – mobilās paliatīvās aprūpes komandas mājās. Lai veicinātu pacienta un viņa ģimenes iesaisti veselības aprūpē, veikti nozīmīgi pasākumi informācijas pieejamības uzlabošanā un pacientu tiesību aizsardzībā”. mobilās paliatīvās aprūpes komandas pakalpojumu mājās nodrošina ne tikai vecāka gada gājuma cilvēkiem, bet visiem pilngadīgiem pacientiem ar konsīlija slēdzienu ziņojumā nav minēti kādi nozīmīgi informācijas pieejamības uzlabošanas pasākumi veikti. Minēts tikai sekojošais: “Attīstīta e-veselības sistēma, veicinot ērtāku piekļuvi medicīniskajai informācijai.” Pēc būtības ir viens pasākums, kas nerisina vispārēju informācijas pieejamības uzlabošanu.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informācijas pieejamības uzlabošana ir būtisks virziens un tā īstenošanai nepieciešams komplekss pasākumu kopums. Vienlaikus vēlamies norādīt, ka minētie soļi – e-veselības sistēmas attīstība un grozījumi Pacientu tiesību likumā – atspoguļo  virzību šajā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izteikts sekojošā redakcijā: "Tāpat tiek uzlabotas pārejas uz rehabilitāciju un sociālo aprūpi (piemēram, nodrošinot mobilās paliatīvās aprūpes komandas mājās, nodrošinot psihosociālas rehabilitācijas pakalpojuma sniegšanu bērniem ar autiskā spektra traucējumiem, personām ar onkoloģisku slimību un to tuviniekiem, probācijas klientiem ar atkarību izraisošo vielu lietošanas risku).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veicinātu pacienta un viņa ģimenes iesaisti veselības aprūpē, veikti pasākumi informācijas pieejamības uzlabošanā un pacientu tiesību aizsardzībā. Attīstīta e-veselības sistēma, veicinot ērtāku piekļuvi medicīniskajai informācijai. Kā arī veikti grozījumi Pacientu tiesību likumā, nosakot tiesības pacienta partnerim, pilnvarotajai personai.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Nr.1 "Politikas rezultāti un rezultatīvie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Hospiss Māja - 02.09.2025.)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12.lpp – vispārējās valdības izdevumu samazinājumu dēļ esošās problēmas veselības aprūpē – pakalpojumu pieejamība, veselības aprūpes cilvēkresursu pieejamība, augsti mirstības rādītāji – turpmākajos gados visdrīzāk tikai saasināsies. Ziņojumā nav sniegti priekšlikumi par risinājumiem pamatnostādņu mērķu sasniegšanā līdz pamatnostādņu beigu termiņam 2027.gadā, ja vispārējās valdības izdevumu samazinājums saglabāsies vidējā termiņā. Šajā lapā tas minēts kā fakts un atkārtoti īsi tas pieminēts secinājumos ar tekstu “Kopumā pamatnostādnes uzskatāmas par neīstenotām trūkstošā finansējuma dēļ”. Tomēr ziņojuma sākumā ir uzsvērts, ka šī novērtējuma uzdevums ir: 1)           izvērtēt politikas rezultātus dinamikā, novērtējot iespējamību sasniegt mērķus beigu periodā;  2)           uzdevumu izpildes pārskats – konkrētas rīcības atspoguļojums. Lūdzu papildināt ziņojumu ar konkrētiem iespējamiem risinājumiem mērķu sasniegšanai beigu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finansējuma ierobežojumi būtiski ietekmē veselības aprūpes sistēmas ilgtspēju un mērķu sasniegšanu līdz 2027. gadam. Vienlaikus vēlamies norādīt, ka šī starpposma novērtējuma mērķis ir izvērtēt līdzšinējo progresu un sniegt paveikto pasākumu analīzi, nevis izstrādāt jaunas iniciatīvas.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Nr.1 "Politikas rezultāti un rezultatīvie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Hospiss Māja - 02.09.2025.)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19.Uzlabota veselības aprūpes kvalitāte un efektivitāte, veicināta veselības nozares digitālā transformācija. Ziņojuma teksta 8.lpp 19.punktā ieviesusies tehniska kļūda 19.punktam pievienojot un ar komatu atdalot 20.punkta tekstu, tādējādi divreiz atkārtojot 20.punktu.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izteikts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"19.Uzlabota veselības aprūpes kvalitāte un 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20.Veicināta veselības nozares digitālā transformācija."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Nr.1 "Politikas rezultāti un rezultatīvie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Hospiss Māja - 02.09.2025.)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10.lpp uzskaitīti dokumenti, ko izstrādājusi Veselības ministrija, lai atbalstītu un veicinātu pamatnostādņu mērķu sasniegšanu: 8.punkts “konceptuālais ziņojums “Par situāciju paliatīvajā aprūpē Latvijā un nepieciešamajām izmaiņām paliatīvās aprūpes pakalpojumu pieejamības nodrošināšanā (pieņemts 2020.gada decembrī). Vai korekti 2021.-2027.gadu pamatnostādņu izvērtējuma ziņojumā par 2021. – 2024.gadā paveikto, lai izpildītu pamatnostādnēs noteikto, minēt kā šajā periodā paveiktu Veselības ministrijas uzdevumu, kurš veicina pamatnostādņu mērķu sasniegšanu dokumentu, kas pieņemts gadu pirms  pamatnostādņu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konceptuālais ziņojums ‘Par situāciju paliatīvajā aprūpē Latvijā un nepieciešamajām izmaiņām paliatīvās aprūpes pakalpojumu pieejamības nodrošināšanā’ tika pieņemts 2020. gada decembrī, pirms pamatnostādņu apstiprināšanas. Vienlaikus vēlamies norādīt, ka dokumenta izstrāde notika vienlaicīgi ar pamatnostādņu sagatavošanu un saskaņošanu, tādējādi jau nodrošinot pamatu pasākumiem, kas īstenoti 2021.–2024. gadā pamatnostādņu mērķu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Nr.1 "Politikas rezultāti un rezultatīvie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Hospiss Māja - 02.09.2025.)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7.lpp “4.politikas rezultāts - Samazinājusies atkarību izraisošo vielu lietošana un procesu atkarības iedzīvotāju vidū.” Un no 34.lpp šī politikas rezultāta ieviešanas analīze ziņojuma 2.1.4. apakšnodaļā. Ziņojumā un valstī kopumā netiek risināts būtisks, bet šobrīd neaktualizēts jautājums par pacientiem ārstēšanas procesā pieejamo atsāpinošo medikamentu klāstu un devu lielumiem. Būtu jānodrošina plašākas iespējas atsāpināšanai, jo pašlaik Latvijā pieejami galvenokārt DHC, tramadols, fentanils un morfijs, savukārt citās valstīs tiek izmantoti arī tādi medikamenti kā buprenorfīns, diamorfīns un anfentanils. Šie papildus medikamenti ļauj ārstēšanu sākt pakāpeniskāk, neizmantojot uzreiz spēcīgākos opioīdus.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Latvijā pieejamo fentanila plāksteru zemākā  deva ir 25 mcg, kas terapijas sākšanai bieži ir pārāk augsta un rada pieraduma un blakņu risku, kā arī apgrūtina devu precīzu pielāgošanu. Lai gan Zāļu valsts aģentūras datos ir norādīti arī 12 mcg plāksteri, to pieejamība ir ļoti ierobežota un pacientiem tie netiek izsniegti. Citās Eiropas valstīs, piemēram, Lielbritānijā  fentanila plāksteri ir pieejami arī no 4–6 mcg, kas ļauj ārstēšanu uzsākt drošāk un efektīvāk dozēt.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Latvijā mazākā pieejamā morfija tablešu deva ir 10 mg, kamēr ārvalstu praksē terapiju iespējams sākt jau ar 1,25 mg. Tas būtiski apgrūtina pakāpenisku devu pielāgošanu un palielina gan pieraduma, gan blakusefektu risku pacientiem.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Paldies par sniegto priekšlikumu. Vēlamies paskaidrot, ka Informatīvais ziņojums “Sabiedrības veselības pamatnostādņu 2021.–2027. gadam īstenošanas vidusposma no 2021.–2024. gadam novērtējums” ir izvērtējums par pamatnostādnēs noteikto rīcības virzienu un politikas rezultātu īstenošanu. Informatīvajā ziņojumā nav plānots iekļaut priekšlikumus jauniem pasākumiem, bet, izvērtējot sniegto priekšlikumu, informējam par sekojošo. Farmācijas nozari regulē Eiropas Savienības tiesību akti, kas nosaka gan medikamentu reģistrācijas, gan aprites kārtību. Jautājumi par konkrētu atsāpinošo medikamentu pieejamību Latvijas tirgū un devu diapazonu saistīti ar farmācijas uzņēmumu komerciālajiem lēmumiem un Eiropas Savienības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Sabiedrības veselības pamatnostādņu 2021.- 2027.gadam īstenošanas vidusposma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tekstu pie politikas rezultāta "2.3.5. Uzlabota veselības aprūpe paliatīvās aprūpes jomā" apraksta (76. lpp.), minot vai nu pilnu Labklājības ministrijas nosaukumu, vai arī papildinot Izmantoto saīsinājumu sarakstu ar abreviatūru "LM".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ziņojumā jāprecizē sadaļu 2.3.3., 2.3.4., 2.3.5. un 2.3.6. nosaukums, termina "politiskais rezultāts" vietā lietojot "politikas rezultāts".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lp. norādīts, ka "Kā arī izmantoti saīsinājumi, kuri norādīti Ministru kabineta 2022. gada 26. maija rīkojumā Nr. 359 “Sabiedrības veselības pamatnostādnes 2021.–2027. gadam”", attiecīgi abreviatūru "LM" ir atrunāta “Sabiedrības veselības pamatnostādnes 2021.–2027.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Paldies, ka pamanījāt kļūdas. Termins "politiskais rezultāts" tika aizstāts ar "politikas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Sabiedrības veselības pamatnostādņu 2021.- 2027.gadam īstenošanas vidusposma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1. sadaļas "Sabiedrības veselības mērķrādītāji un īstenotie pasākumi to uzlabošanai" 1. punktā “Veselības aprūpes pakalpojumu onkoloģijas jomā uzlabošanas plāns 2022.–2024. gadam” (turpmāk – politikas plānošanas dokuments) norādīto atsauci Nr.3, ņemot vērā, ka politikas plānošanas dokuments neatbilst atsaucē minētajam Ministru kabineta rīkojuma numuram.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Paldies. Atsauce tika izlabota.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Sabiedrības veselības pamatnostādņu 2021.- 2027.gadam īstenošanas vidusposma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2.2.3.politikas rezultātā (59. lpp) atsauci uz EK tehniskā atbalsta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(precizējumi izcelti Bold):</w:t>
            </w:r>
            <w:r w:rsidR="00000000" w:rsidRPr="00000000" w:rsidDel="00000000">
              <w:rPr>
                <w:b w:val="1"/>
                <w:rtl w:val="0"/>
              </w:rPr>
              <w:t xml:space="preserve"> </w:t>
            </w:r>
            <w:r w:rsidR="00000000" w:rsidRPr="00000000" w:rsidDel="00000000">
              <w:rPr>
                <w:rtl w:val="0"/>
              </w:rPr>
              <w:t xml:space="preserve">"</w:t>
            </w:r>
            <w:r w:rsidR="00000000" w:rsidRPr="00000000" w:rsidDel="00000000">
              <w:rPr>
                <w:b w:val="1"/>
                <w:rtl w:val="0"/>
              </w:rPr>
              <w:t xml:space="preserve">2023. </w:t>
            </w:r>
            <w:r w:rsidR="00000000" w:rsidRPr="00000000" w:rsidDel="00000000">
              <w:rPr>
                <w:rtl w:val="0"/>
              </w:rPr>
              <w:t xml:space="preserve">gadā Zemkopības ministrija uzsāka Eiropas Komisijas tehniskā atbalsta projektu </w:t>
            </w:r>
            <w:r w:rsidR="00000000" w:rsidRPr="00000000" w:rsidDel="00000000">
              <w:rPr>
                <w:b w:val="1"/>
                <w:rtl w:val="0"/>
              </w:rPr>
              <w:t xml:space="preserve">“Antimikrobiālās rezistences un zoonožu uzraudzības un riska novērtēšanas sistēma Latvijā, izmantojot “Vienas veselības” pieeju – strukturālo reformu turpināšana”</w:t>
            </w:r>
            <w:r w:rsidR="00000000" w:rsidRPr="00000000" w:rsidDel="00000000">
              <w:rPr>
                <w:rtl w:val="0"/>
              </w:rPr>
              <w:t xml:space="preserve">, lai stiprinātu starpnozaru sadarbības mehānismus un uzraudzības sistēmas </w:t>
            </w:r>
            <w:r w:rsidR="00000000" w:rsidRPr="00000000" w:rsidDel="00000000">
              <w:rPr>
                <w:b w:val="1"/>
                <w:rtl w:val="0"/>
              </w:rPr>
              <w:t xml:space="preserve">antimikrobiālās rezistences un zoonožu jomā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Pieņemta 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Nr.2 "Sabiedrības veselības pamatnostādņu 2021.-2027.gadam uzdevumu izpilde no 2021.gada – 2024.gadam"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saskaņot tekstā terminoloģiju, kas skar tehnisko palīglīdzekļu nodrošināšanu, lietojot vai nu pilnu nosaukumu "tehniskie palīglīdzekļi" vai saīsinājumu "TPL". "VSIA NRC"Vaivari" vai "Vaivari". Vienlaikus lūdzam precizēt tekstu 2.pielikuma 326. un 327. 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326.</w:t>
            </w:r>
            <w:r w:rsidR="00000000" w:rsidRPr="00000000" w:rsidDel="00000000">
              <w:rPr>
                <w:rtl w:val="0"/>
              </w:rPr>
              <w:t xml:space="preserve"> </w:t>
            </w:r>
            <w:r w:rsidR="00000000" w:rsidRPr="00000000" w:rsidDel="00000000">
              <w:rPr>
                <w:b w:val="1"/>
                <w:rtl w:val="0"/>
              </w:rPr>
              <w:t xml:space="preserve">lpp.:</w:t>
            </w:r>
            <w:r w:rsidR="00000000" w:rsidRPr="00000000" w:rsidDel="00000000">
              <w:rPr>
                <w:b w:val="1"/>
                <w:rtl w:val="0"/>
              </w:rPr>
              <w:t xml:space="preserve">Izpilde 2022.</w:t>
            </w:r>
            <w:r w:rsidR="00000000" w:rsidRPr="00000000" w:rsidDel="00000000">
              <w:rPr>
                <w:rtl w:val="0"/>
              </w:rPr>
              <w:t xml:space="preserve"> </w:t>
            </w:r>
            <w:r w:rsidR="00000000" w:rsidRPr="00000000" w:rsidDel="00000000">
              <w:rPr>
                <w:b w:val="1"/>
                <w:rtl w:val="0"/>
              </w:rPr>
              <w:t xml:space="preserve">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Vaivari:  </w:t>
            </w:r>
            <w:r w:rsidR="00000000" w:rsidRPr="00000000" w:rsidDel="00000000">
              <w:rPr>
                <w:rtl w:val="0"/>
              </w:rPr>
              <w:t xml:space="preserve">No 2022. gada 1. janvāra stājās spēkā 2021.gada 21.decembra Ministru kabineta noteikumi Nr. 878 “Tehnisko palīglīdzekļu noteikumi”, kuros papildināts valsts finansēto tehnisko palīglīdzekļu saraksts (palīglīdzekļu veidu apjoms palielināts no 129 uz 225).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327.</w:t>
            </w:r>
            <w:r w:rsidR="00000000" w:rsidRPr="00000000" w:rsidDel="00000000">
              <w:rPr>
                <w:rtl w:val="0"/>
              </w:rPr>
              <w:t xml:space="preserve"> </w:t>
            </w:r>
            <w:r w:rsidR="00000000" w:rsidRPr="00000000" w:rsidDel="00000000">
              <w:rPr>
                <w:b w:val="1"/>
                <w:rtl w:val="0"/>
              </w:rPr>
              <w:t xml:space="preserve">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Izpilde 2024.</w:t>
            </w:r>
            <w:r w:rsidR="00000000" w:rsidRPr="00000000" w:rsidDel="00000000">
              <w:rPr>
                <w:rtl w:val="0"/>
              </w:rPr>
              <w:t xml:space="preserve"> </w:t>
            </w:r>
            <w:r w:rsidR="00000000" w:rsidRPr="00000000" w:rsidDel="00000000">
              <w:rPr>
                <w:b w:val="1"/>
                <w:rtl w:val="0"/>
              </w:rPr>
              <w:t xml:space="preserve">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LM:</w:t>
            </w:r>
            <w:r w:rsidR="00000000" w:rsidRPr="00000000" w:rsidDel="00000000">
              <w:rPr>
                <w:rtl w:val="0"/>
              </w:rPr>
              <w:t xml:space="preserve"> Ar 2022. gadu pilnībā tika pārskatīts tehnisko palīglīdzekļu saraksts, tomēr pēc palīglīdzekļiem veidojas rindas pieprasījuma pieauguma un finanšu līdzekļu nepietiekamības dēļ. Lai arī 2022. gadā rindas mazināšanai prioritāro pasākumu ietvaros tika piešķirts 475 153 eiro (vienam gadam) un TPL pieejamības uzlabošanai 1 738 729 eiro (vienam gadam), bet 2023. gadā un turpmāk TPL rindas mazināšanai 4 400 000 eiro, finansējuma apjoms ir pietiekams tikai, lai nosegtu pastāvīgi pieaugošo pieprasījumu. Līdz ar to būtiskas izmaiņas TPL nodrošināšanas kārtībā pārskata periodā nav veiktas.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Pieņemta 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Sabiedrības veselības pamatnostādņu 2021.- 2027.gadam īstenošanas vidusposma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vidusposma novērtējuma teksta 2.2.3. politikas rezultātu (58. lapaspusē):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aizstāt vārdus "veterinārā medicīna" ar vārdiem "dzīvnieku veselība".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(precizējumi izcelti Bold): "AMR ierobežošana Latvijā tiek īstenota atbilstoši “Vienas veselības” pieejai, nodrošinot sadarbību starp cilvēku veselības</w:t>
            </w:r>
            <w:r w:rsidR="00000000" w:rsidRPr="00000000" w:rsidDel="00000000">
              <w:rPr>
                <w:b w:val="1"/>
                <w:u w:val="single"/>
                <w:rtl w:val="0"/>
              </w:rPr>
              <w:t xml:space="preserve">,</w:t>
            </w:r>
            <w:r w:rsidR="00000000" w:rsidRPr="00000000" w:rsidDel="00000000">
              <w:rPr>
                <w:b w:val="1"/>
                <w:rtl w:val="0"/>
              </w:rPr>
              <w:t xml:space="preserve"> dzīvnieku veselības</w:t>
            </w:r>
            <w:r w:rsidR="00000000" w:rsidRPr="00000000" w:rsidDel="00000000">
              <w:rPr>
                <w:rtl w:val="0"/>
              </w:rPr>
              <w:t xml:space="preserve"> un pārtikas drošības nozarēm").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gan starptautiski, gan nacionālajos politikas plānošanas dokumentos ir "Viena veselība" principa skaidrojums, kas saskan ar Pasaules Veselības organizācijas atzinumu, ka cilvēku, dzīvnieku, augu un plašākas vides (tostarp ekosistēmu) veselība ir cieši saistīta un savstarpēji atkarīga. (</w:t>
            </w:r>
            <w:r w:rsidR="00000000" w:rsidRPr="00000000" w:rsidDel="00000000">
              <w:rPr>
                <w:i w:val="1"/>
                <w:rtl w:val="0"/>
              </w:rPr>
              <w:t xml:space="preserve">https://www.who.int/health-topics/one-health#tab=tab_1);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aizstāt vārdus vārdus "Lauksaimniecības un veterinārās uzraudzības jomā" ar vārdiem "Dzīvnieku veselības, pārtikas drošības un zoonožu uzraudzības jomā" un papildināt, ka Pārtikas un veterinārais dienests un BIOR arī 2024.gadā ir veicis zoonožu ierosinātāju un indikatorbaktēriju rezistences monitoringu, jo šāds monitorings jāveic katru gadu saskaņā ar Eiropas Komisijas Īstenošanas lēmumu (ES) 2020/1729.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(precizējumi izcelti Bold): "</w:t>
            </w:r>
            <w:r w:rsidR="00000000" w:rsidRPr="00000000" w:rsidDel="00000000">
              <w:rPr>
                <w:b w:val="1"/>
                <w:rtl w:val="0"/>
              </w:rPr>
              <w:t xml:space="preserve">Dzīvnieku veselības, pārtikas drošības un zoonožu uzraudzības</w:t>
            </w:r>
            <w:r w:rsidR="00000000" w:rsidRPr="00000000" w:rsidDel="00000000">
              <w:rPr>
                <w:rtl w:val="0"/>
              </w:rPr>
              <w:t xml:space="preserve"> jomā Pārtikas un veterinārais dienests un Pārtikas drošības, dzīvnieku veselības un vides zinātniskais institūts "Bior" 2021., 2022., 2023. un </w:t>
            </w:r>
            <w:r w:rsidR="00000000" w:rsidRPr="00000000" w:rsidDel="00000000">
              <w:rPr>
                <w:b w:val="1"/>
                <w:rtl w:val="0"/>
              </w:rPr>
              <w:t xml:space="preserve">2024. </w:t>
            </w:r>
            <w:r w:rsidR="00000000" w:rsidRPr="00000000" w:rsidDel="00000000">
              <w:rPr>
                <w:rtl w:val="0"/>
              </w:rPr>
              <w:t xml:space="preserve">gadā veikuši zoonožu ierosinātāju un indikatorbaktēriju rezistences monitoringu saskaņā ar Eiropas Komisijas Īstenošanas lēmumu (ES) 2020/1729. Uzraudzībā iekļauti </w:t>
            </w:r>
            <w:r w:rsidR="00000000" w:rsidRPr="00000000" w:rsidDel="00000000">
              <w:rPr>
                <w:i w:val="1"/>
                <w:rtl w:val="0"/>
              </w:rPr>
              <w:t xml:space="preserve">Salmonella spp., Campylobacter </w:t>
            </w:r>
            <w:r w:rsidR="00000000" w:rsidRPr="00000000" w:rsidDel="00000000">
              <w:rPr>
                <w:rtl w:val="0"/>
              </w:rPr>
              <w:t xml:space="preserve">un </w:t>
            </w:r>
            <w:r w:rsidR="00000000" w:rsidRPr="00000000" w:rsidDel="00000000">
              <w:rPr>
                <w:i w:val="1"/>
                <w:rtl w:val="0"/>
              </w:rPr>
              <w:t xml:space="preserve">E. coli, t</w:t>
            </w:r>
            <w:r w:rsidR="00000000" w:rsidRPr="00000000" w:rsidDel="00000000">
              <w:rPr>
                <w:rtl w:val="0"/>
              </w:rPr>
              <w:t xml:space="preserve">ostarp paplašināta spektra beta-laktamāzes (ESBL), AmpC un karbapenemāzes producējošie celmi, kas iegūti no mājputniem, liellopiem un cūkām. Rezultāti regulāri tiek ziņoti Eiropas Pārtikas nekaitīguma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Pieņemta 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Sabiedrības veselības pamatnostādņu 2021.- 2027.gadam īstenošanas vidusposma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(LBAS - 01.09.2025.)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Veselības un sociālās aprūpes darbinieku arodbiedrības (turpmāk – LVSADA) birojs iepazinās ar dokumenta projektu “Informatīvais ziņojums “Sabiedrības veselības pamatnostādņu 2021. – 2028. gadam īstenošanas vidusposma no 2021. – 2024. gadam novērtējums” (dokumenta ID: 25-TA-1834, turpmāk –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sadaļas “3. Secinājumi” priekšpēdējās rindkopas pirmais teikums “Kopumā Pamatnostādnes uzskatāmas par neīstenotām trūkstošā finansējuma dēļ.” objektīvi atspoguļo patieso situāciju. Ņemot to vērā, LVSADA neiebilst pret projekta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LVSADA ir vairāki ieteikumi par to, kā uzlabot Projekta kvalitāti.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Sadaļā “3. Secinājumi” būtu vērts atzīmēt, ka, lai arī vairāki rezultatīvie rādītāji 2024. gadā uzrāda izvirzīto mērķu izpildi, tie joprojām ir starp sliktākajiem rādītājiem ES (piemēram, praktizējošu māsu skaits uz 100 000 iedz., novēršamā mirstība, 30 dienu mirstība pēc miokarda infarkta, 30 dienu mirstība pēc išēmiska insulta, u.c.). Sadaļas pēdējā rindkopā vārdu “ES Komisija rekomendē Latviju 2025. un 2026. gadā (..)” vietā pareizāk būtu rakstīt “Eiropas Komisija rekomendē Latvijai 2025. un 2026 gadā” vai “Eiropas Komisija aicina Latviju 2025. un 2026. gadā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Sadaļu “Kopsavilkums” būtu lietderīgi papildināt ar pēdējām divām rindkopām no sadaļas “3. Secinājumi”. Pretējā gadījumā steidzīgam lasītājam no iepazīšanās ar Projekta kopsavilkumu nekļūst skaidrs, kāds kopumā ir novērtējuma rezultāts.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Sadaļā “1.1. Veselīgi nodzīvotie mūža gadi (avots: “Eurostat)*21” būtu korekti norādīt, ka runa ir par prognozi, cilvēkam piedzimstot (atbilstoši Eurostat metodikai).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Sadaļā “2.3.7. Politikas rezultāts: Samazināti pacientu tiešmaksājumi par veselības aprūpi un uzlabota veselības aprūpes pakalpojumu pieejamība” tabulā Nr. 25 nav korekti norādīti veselības nozares budžeta izdevumi pamatfunkcijām 2024. gadā procentos no IKP – 4,83%. Atbilstoši Finanšu ministrijas mājas lapā pieejamajiem datiem, 2024. gadā IKP faktiskajās cenās bija 40 200 milj. eiro, kamēr Veselības ministrijas visi izdevumi bija 1 896,1 milj. eiro (4,7% no IKP).  Tātad Veselības ministrijas (nozares) izdevumi pamatfunkcijām 2024. gadā nekādi nevarēja būt 4,83%; tie bija mazāki. Šo būtisko rādītāju vajadzētu koriģēt atbilstoši tā faktiskajam lielumam.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Secinājuma daļā divas reizes tiek lietota atsauce uz EK secinājumiem un priekšlikumiem, tādēļ secinājumus nepapildinām ar atsevišķu rādītāju salīdzināšanu ES līmenī, bet starpatskaites teksts vairākās vietās  papildināts ar salīdzinājumu ES līmenī.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Kopsavilkums papildināts ar svarīgākajiem secinājumiem.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Priekšlikums precizēt veselīgi nodzīvoto mūža gadu rādītāju ir iekļauts tekstā, paskaidrojot tā metodiku.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VM ziņojumā sniegtie dati atbilst  veselības nozares budžeta izdevumiem pamatfunkcijām atbilstoši pēdējam 2024. gada plānam, ņemot vērā visus piešķīrumus. Ar minēto informāciju papildināts Sabiedrības veselības pamatnostādņu 2021.- 2027.gadam īstenošanas vidusposma novērtējums.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Sabiedrības veselības pamatnostādņu 2021.- 2027.gadam īstenošanas vidusposma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projekta 2.2.sadaļas "Rīcības virziens: Infekciju izplatības mazināšana" otrās rindkopas pēdējo teikumu, norādot, kādas ESF programmas ir domātas.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sadaļas rindkopa precizēts ar tekstu:   ES fondu 2021.-2027.gada darbības programma - ES fondu 2021.-2027.gada plānošanas perioda darbības programmas 4.1.2.specifiskā atbalsta mērķa “Veicināt darba ņēmēju, darba devēju un uzņēmumu pielāgošanos pārmaiņām, aktīvu un veselīgu novecošanos, kā arī veicināt veselīgu un labi pielāgotu darba vidi veselības.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Sabiedrības veselības pamatnostādņu 2021.- 2027.gadam īstenošanas vidusposma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ziņojuma projekta sadaļā "Saīsinājumi" saīsinājumu "SPKC ESF 9.2.4.2. projekts Nr. 9.2.4.2/16/I/106", ņemot vērā, ka tas ziņojuma projektā netiek lietots.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Saīsinājums vairākkārt lietots pielikumā Nr.2.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Sabiedrības veselības pamatnostādņu 2021.- 2027.gadam īstenošanas vidusposma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ziņojuma projekta sadaļā "Saīsinājumi" saīsinājumu "AF", ņemot vērā, ka tas dublē Atveseļošanas un noturības mehānisma saīsinājumu "ANM" un tas netiek lietots ziņojuma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"AF - Atveseļošanas fonda" aizstāts ar "ANM - Atveseļošanas un noturības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Sabiedrības veselības pamatnostādņu 2021.- 2027.gadam īstenošanas vidusposma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visā ziņojuma projektā Eiropas Savienības fondu un Atveseļošanas un noturības mehānisma projektiem to numurus un nosaukumus, lai būtu pilnībā skaidrs, kura projekta ietvaros ir veiktas konkrētās investīcijas, ņemot vērā, ka ziņojuma projektā parādās ES fondu projekti no diviem Eiropas Savienība fondu plānošanas periodiem.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fondu un Atveseļošanas un noturības mehānisma projektiem to numuri un nosaukumi ir norādīti dokumenta pielikumā, lai nesarežģītu teksta uztveramību.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Nr.2 "Sabiedrības veselības pamatnostādņu 2021.-2027.gadam uzdevumu izpilde no 2021.gada – 2024.gadam"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rīcības virziena “Veselīgs un aktīvs dzīvesveids” 1.1.5. apakšpunktā par minētā apakšuzdevuma izpildi atbildīgās institūcijas BIOR sniegtā informācija ir ietverta 2024. gada izpildē, Zemkopības ministrija lūdz izvērtēt šīs informācijas atkārtotas iekļaušanas lietderību pie Zemkopības ministrijas izpildes 2024.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kura dublējas ZM ar BIOR tika dzēsta.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25-TA-1834</w:t>
    </w:r>
    <w:r>
      <w:br/>
    </w:r>
    <w:r w:rsidR="00000000" w:rsidRPr="00000000" w:rsidDel="00000000">
      <w:rPr>
        <w:rtl w:val="0"/>
      </w:rPr>
      <w:t xml:space="preserve">14.10.2025. 15.24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25-TA-1834</w:t>
    </w:r>
    <w:r>
      <w:br/>
    </w:r>
    <w:r w:rsidR="00000000" w:rsidRPr="00000000" w:rsidDel="00000000">
      <w:rPr>
        <w:rtl w:val="0"/>
      </w:rPr>
      <w:t xml:space="preserve">14.10.2025. 15.24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Izziņa_25-TA-1834.docx</dc:title>
</cp:coreProperties>
</file>

<file path=docProps/custom.xml><?xml version="1.0" encoding="utf-8"?>
<Properties xmlns="http://schemas.openxmlformats.org/officeDocument/2006/custom-properties" xmlns:vt="http://schemas.openxmlformats.org/officeDocument/2006/docPropsVTypes"/>
</file>