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BB9AB41" w14:textId="77777777" w:rsidR="00DD0961" w:rsidRDefault="00CE6D32">
      <w:pPr>
        <w:spacing w:after="240"/>
        <w:jc w:val="center"/>
        <w:rPr>
          <w:b/>
        </w:rPr>
      </w:pPr>
      <w:r>
        <w:rPr>
          <w:b/>
        </w:rPr>
        <w:t>Sabiedrības iebildumi un priekšlikumi</w:t>
      </w:r>
    </w:p>
    <w:tbl>
      <w:tblPr>
        <w:tblStyle w:val="1"/>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160"/>
        <w:gridCol w:w="6151"/>
        <w:gridCol w:w="1350"/>
        <w:gridCol w:w="4156"/>
      </w:tblGrid>
      <w:tr w:rsidR="00DD0961" w14:paraId="4883662C" w14:textId="77777777" w:rsidTr="004E3F2A">
        <w:tc>
          <w:tcPr>
            <w:tcW w:w="750" w:type="dxa"/>
            <w:shd w:val="clear" w:color="auto" w:fill="FFFFFF"/>
            <w:noWrap/>
            <w:tcMar>
              <w:top w:w="75" w:type="dxa"/>
              <w:left w:w="75" w:type="dxa"/>
              <w:bottom w:w="75" w:type="dxa"/>
              <w:right w:w="75" w:type="dxa"/>
            </w:tcMar>
            <w:vAlign w:val="center"/>
          </w:tcPr>
          <w:p w14:paraId="2CEBA838" w14:textId="77777777" w:rsidR="00DD0961" w:rsidRDefault="00CE6D32" w:rsidP="00347302">
            <w:pPr>
              <w:spacing w:line="240" w:lineRule="auto"/>
              <w:jc w:val="center"/>
            </w:pPr>
            <w:r>
              <w:rPr>
                <w:b/>
              </w:rPr>
              <w:t>Nr.p.k.</w:t>
            </w:r>
          </w:p>
        </w:tc>
        <w:tc>
          <w:tcPr>
            <w:tcW w:w="2160" w:type="dxa"/>
            <w:shd w:val="clear" w:color="auto" w:fill="FFFFFF"/>
            <w:noWrap/>
            <w:tcMar>
              <w:top w:w="75" w:type="dxa"/>
              <w:left w:w="75" w:type="dxa"/>
              <w:bottom w:w="75" w:type="dxa"/>
              <w:right w:w="75" w:type="dxa"/>
            </w:tcMar>
            <w:vAlign w:val="center"/>
          </w:tcPr>
          <w:p w14:paraId="67A12A62" w14:textId="77777777" w:rsidR="00DD0961" w:rsidRDefault="00CE6D32" w:rsidP="00347302">
            <w:pPr>
              <w:spacing w:line="240" w:lineRule="auto"/>
              <w:jc w:val="center"/>
            </w:pPr>
            <w:r>
              <w:rPr>
                <w:b/>
              </w:rPr>
              <w:t>Iebilduma / priekšlikuma iesniedzējs</w:t>
            </w:r>
          </w:p>
        </w:tc>
        <w:tc>
          <w:tcPr>
            <w:tcW w:w="6151" w:type="dxa"/>
            <w:shd w:val="clear" w:color="auto" w:fill="FFFFFF"/>
            <w:noWrap/>
            <w:tcMar>
              <w:top w:w="75" w:type="dxa"/>
              <w:left w:w="75" w:type="dxa"/>
              <w:bottom w:w="75" w:type="dxa"/>
              <w:right w:w="75" w:type="dxa"/>
            </w:tcMar>
            <w:vAlign w:val="center"/>
          </w:tcPr>
          <w:p w14:paraId="2CE3DABA" w14:textId="6F078F20" w:rsidR="00DD0961" w:rsidRDefault="00CE6D32" w:rsidP="00347302">
            <w:pPr>
              <w:spacing w:line="240" w:lineRule="auto"/>
              <w:jc w:val="center"/>
            </w:pPr>
            <w:r>
              <w:rPr>
                <w:b/>
              </w:rPr>
              <w:t>Iesniegt</w:t>
            </w:r>
            <w:r w:rsidR="004E2AA8">
              <w:rPr>
                <w:b/>
              </w:rPr>
              <w:t xml:space="preserve">ais </w:t>
            </w:r>
            <w:r>
              <w:rPr>
                <w:b/>
              </w:rPr>
              <w:t>iebildum</w:t>
            </w:r>
            <w:r w:rsidR="004E2AA8">
              <w:rPr>
                <w:b/>
              </w:rPr>
              <w:t>s</w:t>
            </w:r>
            <w:r>
              <w:rPr>
                <w:b/>
              </w:rPr>
              <w:t xml:space="preserve"> / priekšlikum</w:t>
            </w:r>
            <w:r w:rsidR="004E2AA8">
              <w:rPr>
                <w:b/>
              </w:rPr>
              <w:t>s</w:t>
            </w:r>
          </w:p>
        </w:tc>
        <w:tc>
          <w:tcPr>
            <w:tcW w:w="1350" w:type="dxa"/>
            <w:shd w:val="clear" w:color="auto" w:fill="FFFFFF"/>
            <w:noWrap/>
            <w:tcMar>
              <w:top w:w="75" w:type="dxa"/>
              <w:left w:w="75" w:type="dxa"/>
              <w:bottom w:w="75" w:type="dxa"/>
              <w:right w:w="75" w:type="dxa"/>
            </w:tcMar>
            <w:vAlign w:val="center"/>
          </w:tcPr>
          <w:p w14:paraId="3C4AE557" w14:textId="77777777" w:rsidR="00DD0961" w:rsidRDefault="00CE6D32" w:rsidP="00347302">
            <w:pPr>
              <w:spacing w:line="240" w:lineRule="auto"/>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204D174B" w14:textId="77777777" w:rsidR="00DD0961" w:rsidRDefault="00CE6D32" w:rsidP="00347302">
            <w:pPr>
              <w:spacing w:line="240" w:lineRule="auto"/>
              <w:jc w:val="center"/>
            </w:pPr>
            <w:r>
              <w:rPr>
                <w:b/>
              </w:rPr>
              <w:t>Pamatojums, ja iebildums / priekšlikums nav ņemts vērā</w:t>
            </w:r>
          </w:p>
        </w:tc>
      </w:tr>
      <w:tr w:rsidR="00D6087B" w14:paraId="1EB4B105" w14:textId="77777777" w:rsidTr="004E3F2A">
        <w:tc>
          <w:tcPr>
            <w:tcW w:w="750" w:type="dxa"/>
            <w:shd w:val="clear" w:color="auto" w:fill="FFFFFF"/>
            <w:noWrap/>
            <w:tcMar>
              <w:top w:w="75" w:type="dxa"/>
              <w:left w:w="75" w:type="dxa"/>
              <w:bottom w:w="75" w:type="dxa"/>
              <w:right w:w="75" w:type="dxa"/>
            </w:tcMar>
            <w:vAlign w:val="center"/>
          </w:tcPr>
          <w:p w14:paraId="0074104A" w14:textId="77777777" w:rsidR="00D6087B" w:rsidRPr="00D6087B" w:rsidRDefault="00D6087B" w:rsidP="00347302">
            <w:pPr>
              <w:pStyle w:val="Sarakstarindkopa"/>
              <w:numPr>
                <w:ilvl w:val="0"/>
                <w:numId w:val="1"/>
              </w:numPr>
              <w:spacing w:line="240" w:lineRule="auto"/>
              <w:jc w:val="center"/>
              <w:rPr>
                <w:b/>
              </w:rPr>
            </w:pPr>
          </w:p>
        </w:tc>
        <w:tc>
          <w:tcPr>
            <w:tcW w:w="2160" w:type="dxa"/>
            <w:shd w:val="clear" w:color="auto" w:fill="FFFFFF"/>
            <w:noWrap/>
            <w:tcMar>
              <w:top w:w="75" w:type="dxa"/>
              <w:left w:w="75" w:type="dxa"/>
              <w:bottom w:w="75" w:type="dxa"/>
              <w:right w:w="75" w:type="dxa"/>
            </w:tcMar>
            <w:vAlign w:val="center"/>
          </w:tcPr>
          <w:p w14:paraId="7FA18886" w14:textId="5C83ED89" w:rsidR="00D6087B" w:rsidRPr="00D6087B" w:rsidRDefault="00D6087B" w:rsidP="00347302">
            <w:pPr>
              <w:spacing w:line="240" w:lineRule="auto"/>
              <w:jc w:val="center"/>
              <w:rPr>
                <w:bCs/>
              </w:rPr>
            </w:pPr>
            <w:r w:rsidRPr="00D6087B">
              <w:rPr>
                <w:bCs/>
              </w:rPr>
              <w:t>Finanšu ministrija</w:t>
            </w:r>
          </w:p>
        </w:tc>
        <w:tc>
          <w:tcPr>
            <w:tcW w:w="6151" w:type="dxa"/>
            <w:shd w:val="clear" w:color="auto" w:fill="FFFFFF"/>
            <w:noWrap/>
            <w:tcMar>
              <w:top w:w="75" w:type="dxa"/>
              <w:left w:w="75" w:type="dxa"/>
              <w:bottom w:w="75" w:type="dxa"/>
              <w:right w:w="75" w:type="dxa"/>
            </w:tcMar>
            <w:vAlign w:val="center"/>
          </w:tcPr>
          <w:p w14:paraId="59E0A1AD" w14:textId="1215B07C" w:rsidR="004B674D" w:rsidRDefault="004B674D" w:rsidP="00347302">
            <w:pPr>
              <w:spacing w:line="240" w:lineRule="auto"/>
              <w:jc w:val="center"/>
              <w:rPr>
                <w:bCs/>
              </w:rPr>
            </w:pPr>
            <w:r>
              <w:rPr>
                <w:color w:val="000000"/>
                <w:u w:val="single"/>
                <w:bdr w:val="none" w:sz="0" w:space="0" w:color="auto" w:frame="1"/>
                <w:shd w:val="clear" w:color="auto" w:fill="FFFFFF"/>
              </w:rPr>
              <w:t>29. panta ceturtās daļas 1. punkta e) apakšpunkta</w:t>
            </w:r>
          </w:p>
          <w:p w14:paraId="05F4C417" w14:textId="63C36403" w:rsidR="00D6087B" w:rsidRPr="00D6087B" w:rsidRDefault="00D6087B" w:rsidP="00347302">
            <w:pPr>
              <w:spacing w:line="240" w:lineRule="auto"/>
              <w:jc w:val="center"/>
              <w:rPr>
                <w:bCs/>
              </w:rPr>
            </w:pPr>
            <w:r w:rsidRPr="00D6087B">
              <w:rPr>
                <w:bCs/>
              </w:rPr>
              <w:t xml:space="preserve">Šobrīd likuma “Par nodokļiem un nodevām” 29. panta ceturtās daļas 1. punkta e) apakšpunkts attiecas uz gadījumiem, kad nokavējuma nauda tiek apturēta tieši </w:t>
            </w:r>
            <w:bookmarkStart w:id="0" w:name="_Hlk144382068"/>
            <w:r w:rsidRPr="00D6087B">
              <w:rPr>
                <w:bCs/>
              </w:rPr>
              <w:t xml:space="preserve">ārpustiesas tiesiskās aizsardzības procesos </w:t>
            </w:r>
            <w:bookmarkEnd w:id="0"/>
            <w:r w:rsidRPr="00D6087B">
              <w:rPr>
                <w:bCs/>
              </w:rPr>
              <w:t>(turpmāk – ĀTAP). No piedāvātās grozījumu redakcijas un anotācijas nav saprotams, vai jaunā redakcija joprojām attieksies tikai uz ĀTAP gadījumiem vai arī tā ir plašāka.</w:t>
            </w:r>
          </w:p>
          <w:p w14:paraId="72FF6BDF" w14:textId="1A136646" w:rsidR="00D6087B" w:rsidRPr="00D6087B" w:rsidRDefault="00D6087B" w:rsidP="00347302">
            <w:pPr>
              <w:spacing w:line="240" w:lineRule="auto"/>
              <w:jc w:val="center"/>
              <w:rPr>
                <w:bCs/>
              </w:rPr>
            </w:pPr>
            <w:r w:rsidRPr="00D6087B">
              <w:rPr>
                <w:bCs/>
              </w:rPr>
              <w:t>Lūdzam grozījumu projekta anotācijā skaidrot, kā tiks piemērots Maksātnespējas likuma ietvars ĀTAP gadījumos, jo likuma “Par nodokļiem un nodevām” 29.panta ceturtās daļas jaunajā redakcijā ĀTAP vispār netiek pieminēts.</w:t>
            </w:r>
          </w:p>
        </w:tc>
        <w:tc>
          <w:tcPr>
            <w:tcW w:w="1350" w:type="dxa"/>
            <w:shd w:val="clear" w:color="auto" w:fill="FFFFFF"/>
            <w:noWrap/>
            <w:tcMar>
              <w:top w:w="75" w:type="dxa"/>
              <w:left w:w="75" w:type="dxa"/>
              <w:bottom w:w="75" w:type="dxa"/>
              <w:right w:w="75" w:type="dxa"/>
            </w:tcMar>
            <w:vAlign w:val="center"/>
          </w:tcPr>
          <w:p w14:paraId="4BDA44AB" w14:textId="3DDC5F63" w:rsidR="00D6087B" w:rsidRDefault="00D6087B" w:rsidP="00347302">
            <w:pPr>
              <w:spacing w:line="240" w:lineRule="auto"/>
              <w:jc w:val="center"/>
              <w:rPr>
                <w:b/>
              </w:rPr>
            </w:pPr>
            <w:r>
              <w:rPr>
                <w:b/>
              </w:rPr>
              <w:t>Ņemts vērā</w:t>
            </w:r>
          </w:p>
        </w:tc>
        <w:tc>
          <w:tcPr>
            <w:tcW w:w="4156" w:type="dxa"/>
            <w:shd w:val="clear" w:color="auto" w:fill="FFFFFF"/>
            <w:noWrap/>
            <w:tcMar>
              <w:top w:w="75" w:type="dxa"/>
              <w:left w:w="75" w:type="dxa"/>
              <w:bottom w:w="75" w:type="dxa"/>
              <w:right w:w="75" w:type="dxa"/>
            </w:tcMar>
            <w:vAlign w:val="center"/>
          </w:tcPr>
          <w:p w14:paraId="0F893B4D" w14:textId="513D7D47" w:rsidR="00D6087B" w:rsidRDefault="004E3F2A" w:rsidP="00347302">
            <w:pPr>
              <w:spacing w:line="240" w:lineRule="auto"/>
              <w:jc w:val="center"/>
              <w:rPr>
                <w:b/>
              </w:rPr>
            </w:pPr>
            <w:r w:rsidRPr="004E3F2A">
              <w:rPr>
                <w:bCs/>
              </w:rPr>
              <w:t>Anotācija papildināta ar skaidrojumu</w:t>
            </w:r>
            <w:r w:rsidR="00A14B76">
              <w:rPr>
                <w:bCs/>
              </w:rPr>
              <w:t>.</w:t>
            </w:r>
          </w:p>
        </w:tc>
      </w:tr>
      <w:tr w:rsidR="00D6087B" w14:paraId="685EB953" w14:textId="77777777" w:rsidTr="004E3F2A">
        <w:tc>
          <w:tcPr>
            <w:tcW w:w="750" w:type="dxa"/>
            <w:shd w:val="clear" w:color="auto" w:fill="FFFFFF"/>
            <w:noWrap/>
            <w:tcMar>
              <w:top w:w="75" w:type="dxa"/>
              <w:left w:w="75" w:type="dxa"/>
              <w:bottom w:w="75" w:type="dxa"/>
              <w:right w:w="75" w:type="dxa"/>
            </w:tcMar>
            <w:vAlign w:val="center"/>
          </w:tcPr>
          <w:p w14:paraId="074618E7" w14:textId="77777777" w:rsidR="00D6087B" w:rsidRPr="00D6087B" w:rsidRDefault="00D6087B" w:rsidP="00347302">
            <w:pPr>
              <w:pStyle w:val="Sarakstarindkopa"/>
              <w:numPr>
                <w:ilvl w:val="0"/>
                <w:numId w:val="1"/>
              </w:numPr>
              <w:spacing w:line="240" w:lineRule="auto"/>
              <w:jc w:val="center"/>
              <w:rPr>
                <w:b/>
              </w:rPr>
            </w:pPr>
          </w:p>
        </w:tc>
        <w:tc>
          <w:tcPr>
            <w:tcW w:w="2160" w:type="dxa"/>
            <w:shd w:val="clear" w:color="auto" w:fill="FFFFFF"/>
            <w:noWrap/>
            <w:tcMar>
              <w:top w:w="75" w:type="dxa"/>
              <w:left w:w="75" w:type="dxa"/>
              <w:bottom w:w="75" w:type="dxa"/>
              <w:right w:w="75" w:type="dxa"/>
            </w:tcMar>
            <w:vAlign w:val="center"/>
          </w:tcPr>
          <w:p w14:paraId="27360427" w14:textId="456DC588" w:rsidR="00D6087B" w:rsidRPr="00D6087B" w:rsidRDefault="00D6087B" w:rsidP="00347302">
            <w:pPr>
              <w:spacing w:line="240" w:lineRule="auto"/>
              <w:jc w:val="center"/>
              <w:rPr>
                <w:bCs/>
              </w:rPr>
            </w:pPr>
            <w:r w:rsidRPr="00D6087B">
              <w:rPr>
                <w:bCs/>
              </w:rPr>
              <w:t>Finanšu ministrija</w:t>
            </w:r>
          </w:p>
        </w:tc>
        <w:tc>
          <w:tcPr>
            <w:tcW w:w="6151" w:type="dxa"/>
            <w:shd w:val="clear" w:color="auto" w:fill="FFFFFF"/>
            <w:noWrap/>
            <w:tcMar>
              <w:top w:w="75" w:type="dxa"/>
              <w:left w:w="75" w:type="dxa"/>
              <w:bottom w:w="75" w:type="dxa"/>
              <w:right w:w="75" w:type="dxa"/>
            </w:tcMar>
            <w:vAlign w:val="center"/>
          </w:tcPr>
          <w:p w14:paraId="363891EF" w14:textId="6D8C0B8F" w:rsidR="004B674D" w:rsidRDefault="004B674D" w:rsidP="00347302">
            <w:pPr>
              <w:spacing w:line="240" w:lineRule="auto"/>
              <w:jc w:val="center"/>
              <w:rPr>
                <w:bCs/>
              </w:rPr>
            </w:pPr>
            <w:r>
              <w:rPr>
                <w:color w:val="000000"/>
                <w:u w:val="single"/>
                <w:bdr w:val="none" w:sz="0" w:space="0" w:color="auto" w:frame="1"/>
                <w:shd w:val="clear" w:color="auto" w:fill="FFFFFF"/>
              </w:rPr>
              <w:t>29. panta ceturtās daļas 1. punkta e) apakšpunkta</w:t>
            </w:r>
          </w:p>
          <w:p w14:paraId="3E2BE13C" w14:textId="3C2D7043" w:rsidR="00D6087B" w:rsidRPr="00D6087B" w:rsidRDefault="00D6087B" w:rsidP="00347302">
            <w:pPr>
              <w:spacing w:line="240" w:lineRule="auto"/>
              <w:jc w:val="center"/>
              <w:rPr>
                <w:bCs/>
              </w:rPr>
            </w:pPr>
            <w:r w:rsidRPr="00D6087B">
              <w:rPr>
                <w:bCs/>
              </w:rPr>
              <w:t xml:space="preserve">Ņemot vērā, ka tiesiskās aizsardzības procesa (turpmāk – TAP) ierosināšanas gadījumā nemainās nokavējuma naudas apturēšanas kārtība (joprojām paliek spēkā likuma “Par nodokļiem un nodevām” 29. panta ceturtās daļas 1. punkta d) apakšpunkts, kur </w:t>
            </w:r>
            <w:r w:rsidRPr="00D6087B">
              <w:rPr>
                <w:bCs/>
              </w:rPr>
              <w:lastRenderedPageBreak/>
              <w:t>nokavējuma nauda tiek apturēta no dienas, kad ierosināts TAP), bet vienlaikus Maksātnespējas likums šobrīd paredz gadījumus, kad TAP ierosināšanas sekas var tikt atceltas (tātad var tikt atjaunota nokavējuma naudas aprēķināšana, neskatoties uz to, ka TAP nav izbeigts), bet TAP pasākumu plāna izstrāde un saskaņošana ar kreditoriem var turpināties neatkarīgi no tā, ka TAP ierosināšanas sekas ir atceltas, tad var prezumēt, ka ar likuma “Par nodokļiem un nodevām” 29. panta ceturtās daļas 1. punkta e) apakšpunkta redakciju plānots risināt gadījumus, kad pēc TAP ierosināšanas tā sekas ir bijušas atceltas, bet, neskatoties uz to, parādniekam ir izdevies ar kreditoriem saskaņot TAP plānu un tad pēc tā apstiprināšanas tiesā atkārtoti tiktu apturēta nokavējuma nauda (nu jau ar dienu, kad tiesā apstiprināts TAP plāns).</w:t>
            </w:r>
          </w:p>
          <w:p w14:paraId="346CA02D" w14:textId="77777777" w:rsidR="00D6087B" w:rsidRPr="00D6087B" w:rsidRDefault="00D6087B" w:rsidP="00347302">
            <w:pPr>
              <w:spacing w:line="240" w:lineRule="auto"/>
              <w:jc w:val="center"/>
              <w:rPr>
                <w:bCs/>
              </w:rPr>
            </w:pPr>
            <w:r w:rsidRPr="00D6087B">
              <w:rPr>
                <w:bCs/>
              </w:rPr>
              <w:t xml:space="preserve">Tomēr pat neskatoties uz to, šobrīd piedāvātā grozījumu redakcija paredz nokavējuma naudas apturēšanu, “ja tiesiskās aizsardzības procesa pasākumu plāns paredz nokavējuma naudas aprēķināšanas pārtraukšanu”, attiecīgi saprotams, ka norma varētu attiekties tikai uz gadījumiem, kad nokavējuma naudas apturēšana paredzēta tiesā apstiprinātajā TAP pasākumu plānā. Tas padara nesaprotamu minētās normas piemērošanu. Maksātnespējas likumā neesam konstatējuši norādi par to, ka parādniekam TAP pasākumu plānā būtu </w:t>
            </w:r>
            <w:r w:rsidRPr="00D6087B">
              <w:rPr>
                <w:bCs/>
              </w:rPr>
              <w:lastRenderedPageBreak/>
              <w:t>jāparedz nokavējuma naudas apturēšana. Iespējams, to var izsecināt kontekstā ar Maksātnespējas likuma 38. panta pirmās daļas 5. punktā noteikto, proti, TAP var piemērot citas metodes, kas atbilst TAP mērķim. Tomēr minētā norma ir bijusi spēkā kopš Maksātnespējas likuma pieņemšanas un līdz šim praksē nevienam nav bijis TAP plānā īpaši jāparedz nokavējuma naudas apturēšana. Līdz šim tā ir bijusi apturēta un atjaunota tikai saskaņā ar likumā “Par nodokļiem un nodevām” noteikto, nevis TAP pasākumu plānā paredzēto un, mūsuprāt, šāda pieeja būtu saglabājama.</w:t>
            </w:r>
          </w:p>
          <w:p w14:paraId="4649AEF8" w14:textId="77777777" w:rsidR="00D6087B" w:rsidRPr="00D6087B" w:rsidRDefault="00D6087B" w:rsidP="00347302">
            <w:pPr>
              <w:spacing w:line="240" w:lineRule="auto"/>
              <w:jc w:val="center"/>
              <w:rPr>
                <w:bCs/>
              </w:rPr>
            </w:pPr>
          </w:p>
          <w:p w14:paraId="5E4A026A" w14:textId="13CA4B05" w:rsidR="00D6087B" w:rsidRPr="00D6087B" w:rsidRDefault="00D6087B" w:rsidP="00347302">
            <w:pPr>
              <w:spacing w:line="240" w:lineRule="auto"/>
              <w:jc w:val="center"/>
              <w:rPr>
                <w:bCs/>
              </w:rPr>
            </w:pPr>
            <w:r w:rsidRPr="00D6087B">
              <w:rPr>
                <w:bCs/>
              </w:rPr>
              <w:t>Lūdzam grozījumu projekta anotācijā konkretizēt, uz kuriem tieši gadījumiem (TAP vai ĀTAP) un pie kādiem apstākļiem (visiem TAP, tikai tiem TAP, kuriem bija atceltas ierosināšanas sekas, tikai tiem, kuriem tas paredzēts TAP pasākumu plānā) būtu piemērojama ar grozījumiem piedāvātā likuma “Par nodokļiem un nodevām” 29. panta ceturtās daļas 1. punkta e) apakšpunkta redakcija un vienlaikus lūdzam izvērtēt, vai tomēr nav nepieciešams formulēt normu nepārprotamākā redakcijā.</w:t>
            </w:r>
          </w:p>
        </w:tc>
        <w:tc>
          <w:tcPr>
            <w:tcW w:w="1350" w:type="dxa"/>
            <w:shd w:val="clear" w:color="auto" w:fill="FFFFFF"/>
            <w:noWrap/>
            <w:tcMar>
              <w:top w:w="75" w:type="dxa"/>
              <w:left w:w="75" w:type="dxa"/>
              <w:bottom w:w="75" w:type="dxa"/>
              <w:right w:w="75" w:type="dxa"/>
            </w:tcMar>
            <w:vAlign w:val="center"/>
          </w:tcPr>
          <w:p w14:paraId="584B89D4" w14:textId="253E3AF6" w:rsidR="00D6087B" w:rsidRDefault="00AE5F90" w:rsidP="00347302">
            <w:pPr>
              <w:spacing w:line="240" w:lineRule="auto"/>
              <w:jc w:val="center"/>
              <w:rPr>
                <w:b/>
              </w:rPr>
            </w:pPr>
            <w:r>
              <w:rPr>
                <w:b/>
              </w:rPr>
              <w:lastRenderedPageBreak/>
              <w:t>Ņemts vērā</w:t>
            </w:r>
          </w:p>
        </w:tc>
        <w:tc>
          <w:tcPr>
            <w:tcW w:w="4156" w:type="dxa"/>
            <w:shd w:val="clear" w:color="auto" w:fill="FFFFFF"/>
            <w:noWrap/>
            <w:tcMar>
              <w:top w:w="75" w:type="dxa"/>
              <w:left w:w="75" w:type="dxa"/>
              <w:bottom w:w="75" w:type="dxa"/>
              <w:right w:w="75" w:type="dxa"/>
            </w:tcMar>
            <w:vAlign w:val="center"/>
          </w:tcPr>
          <w:p w14:paraId="64F36461" w14:textId="1B2AAC75" w:rsidR="00AE5F90" w:rsidRPr="00AE5F90" w:rsidRDefault="00E97A43" w:rsidP="00347302">
            <w:pPr>
              <w:spacing w:line="240" w:lineRule="auto"/>
              <w:jc w:val="center"/>
              <w:rPr>
                <w:bCs/>
              </w:rPr>
            </w:pPr>
            <w:r>
              <w:rPr>
                <w:bCs/>
              </w:rPr>
              <w:t xml:space="preserve">Grozījumu projekts precizēts, saglabājot iepriekšējā regulējumā paredzēto pieeju, proti, nokavējuma naudas aprēķināšana tiek apturēta neatkarīgi no TAP </w:t>
            </w:r>
            <w:r>
              <w:rPr>
                <w:bCs/>
              </w:rPr>
              <w:lastRenderedPageBreak/>
              <w:t>pasākumu plānā paredzētajām metodēm.</w:t>
            </w:r>
          </w:p>
        </w:tc>
      </w:tr>
      <w:tr w:rsidR="00D6087B" w14:paraId="572F8CC2" w14:textId="77777777" w:rsidTr="004E3F2A">
        <w:tc>
          <w:tcPr>
            <w:tcW w:w="750" w:type="dxa"/>
            <w:shd w:val="clear" w:color="auto" w:fill="FFFFFF"/>
            <w:noWrap/>
            <w:tcMar>
              <w:top w:w="75" w:type="dxa"/>
              <w:left w:w="75" w:type="dxa"/>
              <w:bottom w:w="75" w:type="dxa"/>
              <w:right w:w="75" w:type="dxa"/>
            </w:tcMar>
            <w:vAlign w:val="center"/>
          </w:tcPr>
          <w:p w14:paraId="4BA5ADD5" w14:textId="77777777" w:rsidR="00D6087B" w:rsidRPr="00D6087B" w:rsidRDefault="00D6087B" w:rsidP="00347302">
            <w:pPr>
              <w:pStyle w:val="Sarakstarindkopa"/>
              <w:numPr>
                <w:ilvl w:val="0"/>
                <w:numId w:val="1"/>
              </w:numPr>
              <w:spacing w:line="240" w:lineRule="auto"/>
              <w:jc w:val="center"/>
              <w:rPr>
                <w:b/>
              </w:rPr>
            </w:pPr>
          </w:p>
        </w:tc>
        <w:tc>
          <w:tcPr>
            <w:tcW w:w="2160" w:type="dxa"/>
            <w:shd w:val="clear" w:color="auto" w:fill="FFFFFF"/>
            <w:noWrap/>
            <w:tcMar>
              <w:top w:w="75" w:type="dxa"/>
              <w:left w:w="75" w:type="dxa"/>
              <w:bottom w:w="75" w:type="dxa"/>
              <w:right w:w="75" w:type="dxa"/>
            </w:tcMar>
            <w:vAlign w:val="center"/>
          </w:tcPr>
          <w:p w14:paraId="2E0AA1BE" w14:textId="1F3FD311" w:rsidR="00D6087B" w:rsidRPr="00D6087B" w:rsidRDefault="00D6087B" w:rsidP="00347302">
            <w:pPr>
              <w:spacing w:line="240" w:lineRule="auto"/>
              <w:jc w:val="center"/>
              <w:rPr>
                <w:bCs/>
              </w:rPr>
            </w:pPr>
            <w:r w:rsidRPr="00D6087B">
              <w:rPr>
                <w:bCs/>
              </w:rPr>
              <w:t>Finanšu ministrija</w:t>
            </w:r>
          </w:p>
        </w:tc>
        <w:tc>
          <w:tcPr>
            <w:tcW w:w="6151" w:type="dxa"/>
            <w:shd w:val="clear" w:color="auto" w:fill="FFFFFF"/>
            <w:noWrap/>
            <w:tcMar>
              <w:top w:w="75" w:type="dxa"/>
              <w:left w:w="75" w:type="dxa"/>
              <w:bottom w:w="75" w:type="dxa"/>
              <w:right w:w="75" w:type="dxa"/>
            </w:tcMar>
            <w:vAlign w:val="center"/>
          </w:tcPr>
          <w:p w14:paraId="26FF52ED" w14:textId="0508FFDF" w:rsidR="004B674D" w:rsidRDefault="004B674D" w:rsidP="00347302">
            <w:pPr>
              <w:spacing w:line="240" w:lineRule="auto"/>
              <w:jc w:val="center"/>
              <w:rPr>
                <w:bdr w:val="none" w:sz="0" w:space="0" w:color="auto" w:frame="1"/>
                <w:shd w:val="clear" w:color="auto" w:fill="FFFFFF"/>
              </w:rPr>
            </w:pPr>
            <w:r>
              <w:rPr>
                <w:color w:val="000000"/>
                <w:u w:val="single"/>
                <w:bdr w:val="none" w:sz="0" w:space="0" w:color="auto" w:frame="1"/>
                <w:shd w:val="clear" w:color="auto" w:fill="FFFFFF"/>
              </w:rPr>
              <w:t>29. panta ceturtās daļas 2. punkta b) apakšpunkta</w:t>
            </w:r>
          </w:p>
          <w:p w14:paraId="68EBB5EF" w14:textId="3DEF78F0" w:rsidR="00D6087B" w:rsidRDefault="00AE5F90" w:rsidP="00347302">
            <w:pPr>
              <w:spacing w:line="240" w:lineRule="auto"/>
              <w:jc w:val="center"/>
              <w:rPr>
                <w:b/>
              </w:rPr>
            </w:pPr>
            <w:r>
              <w:rPr>
                <w:bdr w:val="none" w:sz="0" w:space="0" w:color="auto" w:frame="1"/>
                <w:shd w:val="clear" w:color="auto" w:fill="FFFFFF"/>
              </w:rPr>
              <w:t>Šobrīd likums “Par nodokļiem un nodevām” skaidri nosaka</w:t>
            </w:r>
            <w:r>
              <w:rPr>
                <w:color w:val="1F497D"/>
                <w:bdr w:val="none" w:sz="0" w:space="0" w:color="auto" w:frame="1"/>
                <w:shd w:val="clear" w:color="auto" w:fill="FFFFFF"/>
              </w:rPr>
              <w:t>,</w:t>
            </w:r>
            <w:r>
              <w:rPr>
                <w:bdr w:val="none" w:sz="0" w:space="0" w:color="auto" w:frame="1"/>
                <w:shd w:val="clear" w:color="auto" w:fill="FFFFFF"/>
              </w:rPr>
              <w:t> ar kuru brīdi ir </w:t>
            </w:r>
            <w:r>
              <w:rPr>
                <w:color w:val="000000"/>
                <w:bdr w:val="none" w:sz="0" w:space="0" w:color="auto" w:frame="1"/>
                <w:shd w:val="clear" w:color="auto" w:fill="FFFFFF"/>
              </w:rPr>
              <w:t xml:space="preserve">atjaunojama nokavējuma naudas aprēķināšana. Lai arī minētā grozījumu </w:t>
            </w:r>
            <w:r>
              <w:rPr>
                <w:color w:val="000000"/>
                <w:bdr w:val="none" w:sz="0" w:space="0" w:color="auto" w:frame="1"/>
                <w:shd w:val="clear" w:color="auto" w:fill="FFFFFF"/>
              </w:rPr>
              <w:lastRenderedPageBreak/>
              <w:t>redakcija paredz nokavējuma naudas aprēķināšanas atjaunošanu, tomēr tajā nav noteikts brīdis, no kura ir atjaunojama nokavējuma naudas aprēķināšana.</w:t>
            </w:r>
          </w:p>
        </w:tc>
        <w:tc>
          <w:tcPr>
            <w:tcW w:w="1350" w:type="dxa"/>
            <w:shd w:val="clear" w:color="auto" w:fill="FFFFFF"/>
            <w:noWrap/>
            <w:tcMar>
              <w:top w:w="75" w:type="dxa"/>
              <w:left w:w="75" w:type="dxa"/>
              <w:bottom w:w="75" w:type="dxa"/>
              <w:right w:w="75" w:type="dxa"/>
            </w:tcMar>
            <w:vAlign w:val="center"/>
          </w:tcPr>
          <w:p w14:paraId="35AF8FB4" w14:textId="01478C44" w:rsidR="00D6087B" w:rsidRDefault="00770DA6" w:rsidP="00347302">
            <w:pPr>
              <w:spacing w:line="240" w:lineRule="auto"/>
              <w:jc w:val="center"/>
              <w:rPr>
                <w:b/>
              </w:rPr>
            </w:pPr>
            <w:r>
              <w:rPr>
                <w:b/>
              </w:rPr>
              <w:lastRenderedPageBreak/>
              <w:t>Nav ņ</w:t>
            </w:r>
            <w:r w:rsidR="00AE5F90">
              <w:rPr>
                <w:b/>
              </w:rPr>
              <w:t>emts vērā</w:t>
            </w:r>
          </w:p>
        </w:tc>
        <w:tc>
          <w:tcPr>
            <w:tcW w:w="4156" w:type="dxa"/>
            <w:shd w:val="clear" w:color="auto" w:fill="FFFFFF"/>
            <w:noWrap/>
            <w:tcMar>
              <w:top w:w="75" w:type="dxa"/>
              <w:left w:w="75" w:type="dxa"/>
              <w:bottom w:w="75" w:type="dxa"/>
              <w:right w:w="75" w:type="dxa"/>
            </w:tcMar>
            <w:vAlign w:val="center"/>
          </w:tcPr>
          <w:p w14:paraId="2B28CC3A" w14:textId="43F0D6E9" w:rsidR="00770DA6" w:rsidRDefault="00EC08E3" w:rsidP="00AB1B21">
            <w:pPr>
              <w:spacing w:line="240" w:lineRule="auto"/>
              <w:jc w:val="center"/>
              <w:rPr>
                <w:b/>
              </w:rPr>
            </w:pPr>
            <w:r>
              <w:rPr>
                <w:color w:val="000000"/>
                <w:bdr w:val="none" w:sz="0" w:space="0" w:color="auto" w:frame="1"/>
                <w:shd w:val="clear" w:color="auto" w:fill="FFFFFF"/>
              </w:rPr>
              <w:t xml:space="preserve">Panta redakcija tika papildināta, </w:t>
            </w:r>
            <w:r w:rsidR="00AB1B21">
              <w:rPr>
                <w:color w:val="000000"/>
                <w:bdr w:val="none" w:sz="0" w:space="0" w:color="auto" w:frame="1"/>
                <w:shd w:val="clear" w:color="auto" w:fill="FFFFFF"/>
              </w:rPr>
              <w:t xml:space="preserve">ar </w:t>
            </w:r>
            <w:r>
              <w:rPr>
                <w:color w:val="000000"/>
                <w:bdr w:val="none" w:sz="0" w:space="0" w:color="auto" w:frame="1"/>
                <w:shd w:val="clear" w:color="auto" w:fill="FFFFFF"/>
              </w:rPr>
              <w:t>norād</w:t>
            </w:r>
            <w:r w:rsidR="00AB1B21">
              <w:rPr>
                <w:color w:val="000000"/>
                <w:bdr w:val="none" w:sz="0" w:space="0" w:color="auto" w:frame="1"/>
                <w:shd w:val="clear" w:color="auto" w:fill="FFFFFF"/>
              </w:rPr>
              <w:t>i</w:t>
            </w:r>
            <w:r>
              <w:rPr>
                <w:color w:val="000000"/>
                <w:bdr w:val="none" w:sz="0" w:space="0" w:color="auto" w:frame="1"/>
                <w:shd w:val="clear" w:color="auto" w:fill="FFFFFF"/>
              </w:rPr>
              <w:t>,</w:t>
            </w:r>
            <w:r w:rsidR="00AB1B21">
              <w:rPr>
                <w:color w:val="000000"/>
                <w:bdr w:val="none" w:sz="0" w:space="0" w:color="auto" w:frame="1"/>
                <w:shd w:val="clear" w:color="auto" w:fill="FFFFFF"/>
              </w:rPr>
              <w:t xml:space="preserve"> ka n</w:t>
            </w:r>
            <w:r w:rsidR="00AB1B21" w:rsidRPr="00AB1B21">
              <w:rPr>
                <w:color w:val="000000"/>
                <w:bdr w:val="none" w:sz="0" w:space="0" w:color="auto" w:frame="1"/>
                <w:shd w:val="clear" w:color="auto" w:fill="FFFFFF"/>
              </w:rPr>
              <w:t xml:space="preserve">okavējuma nauda tiek aprēķināta no dienas, kad </w:t>
            </w:r>
            <w:r w:rsidR="00AB1B21" w:rsidRPr="00AB1B21">
              <w:rPr>
                <w:color w:val="000000"/>
                <w:bdr w:val="none" w:sz="0" w:space="0" w:color="auto" w:frame="1"/>
                <w:shd w:val="clear" w:color="auto" w:fill="FFFFFF"/>
              </w:rPr>
              <w:lastRenderedPageBreak/>
              <w:t>nokavējuma naudas aprēķināšana tika atjaunota</w:t>
            </w:r>
            <w:r w:rsidR="00AB1B21">
              <w:rPr>
                <w:color w:val="000000"/>
                <w:bdr w:val="none" w:sz="0" w:space="0" w:color="auto" w:frame="1"/>
                <w:shd w:val="clear" w:color="auto" w:fill="FFFFFF"/>
              </w:rPr>
              <w:t>.</w:t>
            </w:r>
          </w:p>
        </w:tc>
      </w:tr>
      <w:tr w:rsidR="00D6087B" w14:paraId="7597A23E" w14:textId="77777777" w:rsidTr="004E3F2A">
        <w:tc>
          <w:tcPr>
            <w:tcW w:w="750" w:type="dxa"/>
            <w:shd w:val="clear" w:color="auto" w:fill="FFFFFF"/>
            <w:noWrap/>
            <w:tcMar>
              <w:top w:w="75" w:type="dxa"/>
              <w:left w:w="75" w:type="dxa"/>
              <w:bottom w:w="75" w:type="dxa"/>
              <w:right w:w="75" w:type="dxa"/>
            </w:tcMar>
            <w:vAlign w:val="center"/>
          </w:tcPr>
          <w:p w14:paraId="7EDAAF17" w14:textId="77777777" w:rsidR="00D6087B" w:rsidRPr="00D6087B" w:rsidRDefault="00D6087B" w:rsidP="00347302">
            <w:pPr>
              <w:pStyle w:val="Sarakstarindkopa"/>
              <w:numPr>
                <w:ilvl w:val="0"/>
                <w:numId w:val="1"/>
              </w:numPr>
              <w:spacing w:line="240" w:lineRule="auto"/>
              <w:jc w:val="center"/>
              <w:rPr>
                <w:b/>
              </w:rPr>
            </w:pPr>
          </w:p>
        </w:tc>
        <w:tc>
          <w:tcPr>
            <w:tcW w:w="2160" w:type="dxa"/>
            <w:shd w:val="clear" w:color="auto" w:fill="FFFFFF"/>
            <w:noWrap/>
            <w:tcMar>
              <w:top w:w="75" w:type="dxa"/>
              <w:left w:w="75" w:type="dxa"/>
              <w:bottom w:w="75" w:type="dxa"/>
              <w:right w:w="75" w:type="dxa"/>
            </w:tcMar>
            <w:vAlign w:val="center"/>
          </w:tcPr>
          <w:p w14:paraId="267C075C" w14:textId="6E90F2CA" w:rsidR="00D6087B" w:rsidRPr="00D6087B" w:rsidRDefault="00D6087B" w:rsidP="00347302">
            <w:pPr>
              <w:spacing w:line="240" w:lineRule="auto"/>
              <w:jc w:val="center"/>
              <w:rPr>
                <w:bCs/>
              </w:rPr>
            </w:pPr>
            <w:r w:rsidRPr="00D6087B">
              <w:rPr>
                <w:bCs/>
              </w:rPr>
              <w:t>Finanšu ministrija</w:t>
            </w:r>
          </w:p>
        </w:tc>
        <w:tc>
          <w:tcPr>
            <w:tcW w:w="6151" w:type="dxa"/>
            <w:shd w:val="clear" w:color="auto" w:fill="FFFFFF"/>
            <w:noWrap/>
            <w:tcMar>
              <w:top w:w="75" w:type="dxa"/>
              <w:left w:w="75" w:type="dxa"/>
              <w:bottom w:w="75" w:type="dxa"/>
              <w:right w:w="75" w:type="dxa"/>
            </w:tcMar>
            <w:vAlign w:val="center"/>
          </w:tcPr>
          <w:p w14:paraId="70DAED14" w14:textId="425D1ECF" w:rsidR="004B674D" w:rsidRDefault="004B674D" w:rsidP="00347302">
            <w:pPr>
              <w:spacing w:line="240" w:lineRule="auto"/>
              <w:jc w:val="center"/>
              <w:rPr>
                <w:bCs/>
              </w:rPr>
            </w:pPr>
            <w:r>
              <w:rPr>
                <w:color w:val="000000"/>
                <w:u w:val="single"/>
                <w:bdr w:val="none" w:sz="0" w:space="0" w:color="auto" w:frame="1"/>
                <w:shd w:val="clear" w:color="auto" w:fill="FFFFFF"/>
              </w:rPr>
              <w:t>29. panta ceturtās daļas 2. punkta b) apakšpunkta</w:t>
            </w:r>
          </w:p>
          <w:p w14:paraId="499B73F6" w14:textId="71D0C322" w:rsidR="00AE5F90" w:rsidRPr="00AE5F90" w:rsidRDefault="00AE5F90" w:rsidP="00347302">
            <w:pPr>
              <w:spacing w:line="240" w:lineRule="auto"/>
              <w:jc w:val="center"/>
              <w:rPr>
                <w:bCs/>
              </w:rPr>
            </w:pPr>
            <w:r w:rsidRPr="00AE5F90">
              <w:rPr>
                <w:bCs/>
              </w:rPr>
              <w:t>Šobrīd likuma “Par nodokļiem un nodevām” 29. panta ceturtās daļas 2. punkta b) apakšpunkts faktiski attiecas uz gadījumiem, kad TAP tiek izbeigts ar TAP pasākumu plāna izpildi. Savukārt, aizstājot regulējumu ar piedāvāto grozījumu redakciju, nav saprotams, vai tajā paredzētā nokavējuma naudas aprēķināšanas atjaunošana gadījumos, kad TAP ir izbeigts, attieksies uz visiem gadījumiem (neatkarīgi, vai TAP ir izbeigts ar izpildi vai neizpildi). Minētais ir būtiski, jo šobrīd likums “Par nodokļiem un nodevām” paredz atšķirīgu nokavējuma naudas atjaunošanas kārtību atkarībā no tā, vai TAP ir izbeigts ar pasākumu plāna izpildi vai neizpildi. Proti, ja TAP tiek izbeigts ar pasākumu plāna izpildi, šobrīd nokavējuma nauda aprēķināšana tiek atjaunota no dienas, kad tiesa pieņēmusi nolēmumu par TAP izbeigšanu sakarā ar plāna izpildi. Savukārt gadījumā, kad TAP tiek izbeigts ar neizpildi, nokavējuma naudas aprēķināšana tiek atjaunota ar dienu, kad tā tika apturēta.</w:t>
            </w:r>
          </w:p>
          <w:p w14:paraId="6BBC7D9B" w14:textId="77777777" w:rsidR="00AE5F90" w:rsidRPr="00AE5F90" w:rsidRDefault="00AE5F90" w:rsidP="00347302">
            <w:pPr>
              <w:spacing w:line="240" w:lineRule="auto"/>
              <w:jc w:val="center"/>
              <w:rPr>
                <w:bCs/>
              </w:rPr>
            </w:pPr>
            <w:r w:rsidRPr="00AE5F90">
              <w:rPr>
                <w:bCs/>
              </w:rPr>
              <w:t xml:space="preserve"> </w:t>
            </w:r>
          </w:p>
          <w:p w14:paraId="392B89F6" w14:textId="77777777" w:rsidR="00AE5F90" w:rsidRPr="00AE5F90" w:rsidRDefault="00AE5F90" w:rsidP="00347302">
            <w:pPr>
              <w:spacing w:line="240" w:lineRule="auto"/>
              <w:jc w:val="center"/>
              <w:rPr>
                <w:bCs/>
              </w:rPr>
            </w:pPr>
          </w:p>
          <w:p w14:paraId="7F330D97" w14:textId="56587683" w:rsidR="00D6087B" w:rsidRDefault="00AE5F90" w:rsidP="00347302">
            <w:pPr>
              <w:spacing w:line="240" w:lineRule="auto"/>
              <w:jc w:val="center"/>
              <w:rPr>
                <w:b/>
              </w:rPr>
            </w:pPr>
            <w:r w:rsidRPr="00AE5F90">
              <w:rPr>
                <w:bCs/>
              </w:rPr>
              <w:lastRenderedPageBreak/>
              <w:t>Lūdzam attiecīgi precizēt likumprojektā minētā punkta redakciju un papildināt anotāciju, lai būtu saprotams, uz kādiem gadījumiem norma attiecas un no kura brīža ir atjaunojams nokavējuma naudas aprēķins katrā gadījumā.</w:t>
            </w:r>
          </w:p>
        </w:tc>
        <w:tc>
          <w:tcPr>
            <w:tcW w:w="1350" w:type="dxa"/>
            <w:shd w:val="clear" w:color="auto" w:fill="FFFFFF"/>
            <w:noWrap/>
            <w:tcMar>
              <w:top w:w="75" w:type="dxa"/>
              <w:left w:w="75" w:type="dxa"/>
              <w:bottom w:w="75" w:type="dxa"/>
              <w:right w:w="75" w:type="dxa"/>
            </w:tcMar>
            <w:vAlign w:val="center"/>
          </w:tcPr>
          <w:p w14:paraId="649D4A65" w14:textId="368E9BAC" w:rsidR="00D6087B" w:rsidRDefault="003C2345" w:rsidP="00347302">
            <w:pPr>
              <w:spacing w:line="240" w:lineRule="auto"/>
              <w:jc w:val="center"/>
              <w:rPr>
                <w:b/>
              </w:rPr>
            </w:pPr>
            <w:r>
              <w:rPr>
                <w:b/>
              </w:rPr>
              <w:lastRenderedPageBreak/>
              <w:t>Ņemts vērā</w:t>
            </w:r>
          </w:p>
        </w:tc>
        <w:tc>
          <w:tcPr>
            <w:tcW w:w="4156" w:type="dxa"/>
            <w:shd w:val="clear" w:color="auto" w:fill="FFFFFF"/>
            <w:noWrap/>
            <w:tcMar>
              <w:top w:w="75" w:type="dxa"/>
              <w:left w:w="75" w:type="dxa"/>
              <w:bottom w:w="75" w:type="dxa"/>
              <w:right w:w="75" w:type="dxa"/>
            </w:tcMar>
            <w:vAlign w:val="center"/>
          </w:tcPr>
          <w:p w14:paraId="013BFE4E" w14:textId="3EFBF565" w:rsidR="00D6087B" w:rsidRPr="00C826D2" w:rsidRDefault="00C826D2" w:rsidP="00347302">
            <w:pPr>
              <w:spacing w:line="240" w:lineRule="auto"/>
              <w:jc w:val="center"/>
              <w:rPr>
                <w:bCs/>
              </w:rPr>
            </w:pPr>
            <w:r w:rsidRPr="00AB1B21">
              <w:rPr>
                <w:color w:val="000000"/>
                <w:bdr w:val="none" w:sz="0" w:space="0" w:color="auto" w:frame="1"/>
                <w:shd w:val="clear" w:color="auto" w:fill="FFFFFF"/>
              </w:rPr>
              <w:t>Panta redakcija ir precizēta</w:t>
            </w:r>
            <w:r w:rsidR="00AB1B21" w:rsidRPr="00AB1B21">
              <w:rPr>
                <w:color w:val="000000"/>
                <w:bdr w:val="none" w:sz="0" w:space="0" w:color="auto" w:frame="1"/>
                <w:shd w:val="clear" w:color="auto" w:fill="FFFFFF"/>
              </w:rPr>
              <w:t>, paredzot, ka 29. panta ceturtās daļas 2. punkta b) apakšpunkts attiecas tikai uz gadījumiem, kad TAP vēl netika pasludināts, bet ierosināšanas sekas tika atceltas</w:t>
            </w:r>
            <w:r w:rsidRPr="00AB1B21">
              <w:rPr>
                <w:color w:val="000000"/>
                <w:bdr w:val="none" w:sz="0" w:space="0" w:color="auto" w:frame="1"/>
                <w:shd w:val="clear" w:color="auto" w:fill="FFFFFF"/>
              </w:rPr>
              <w:t>.</w:t>
            </w:r>
            <w:r w:rsidR="00AB1B21" w:rsidRPr="00AB1B21">
              <w:rPr>
                <w:color w:val="000000"/>
                <w:bdr w:val="none" w:sz="0" w:space="0" w:color="auto" w:frame="1"/>
                <w:shd w:val="clear" w:color="auto" w:fill="FFFFFF"/>
              </w:rPr>
              <w:t xml:space="preserve"> Šādā gadījumā grozījumu projekts paredz, ka</w:t>
            </w:r>
            <w:r w:rsidR="00AB1B21">
              <w:rPr>
                <w:color w:val="000000"/>
                <w:bdr w:val="none" w:sz="0" w:space="0" w:color="auto" w:frame="1"/>
                <w:shd w:val="clear" w:color="auto" w:fill="FFFFFF"/>
              </w:rPr>
              <w:t xml:space="preserve"> n</w:t>
            </w:r>
            <w:r w:rsidR="00AB1B21" w:rsidRPr="00AB1B21">
              <w:rPr>
                <w:color w:val="000000"/>
                <w:bdr w:val="none" w:sz="0" w:space="0" w:color="auto" w:frame="1"/>
                <w:shd w:val="clear" w:color="auto" w:fill="FFFFFF"/>
              </w:rPr>
              <w:t>okavējuma nauda tiek aprēķināta no dienas, kad nokavējuma naudas aprēķināšana tika atjaunota</w:t>
            </w:r>
            <w:r w:rsidR="00AB1B21">
              <w:rPr>
                <w:color w:val="000000"/>
                <w:bdr w:val="none" w:sz="0" w:space="0" w:color="auto" w:frame="1"/>
                <w:shd w:val="clear" w:color="auto" w:fill="FFFFFF"/>
              </w:rPr>
              <w:t xml:space="preserve">. Savukārt, uz gadījumiem, kad TAP tika pasludināts un izbeigts, izpildot TAP pasākumu plānu, attieksies </w:t>
            </w:r>
            <w:r w:rsidR="00AB1B21" w:rsidRPr="00AB1B21">
              <w:rPr>
                <w:color w:val="000000"/>
                <w:bdr w:val="none" w:sz="0" w:space="0" w:color="auto" w:frame="1"/>
                <w:shd w:val="clear" w:color="auto" w:fill="FFFFFF"/>
              </w:rPr>
              <w:t xml:space="preserve">29. panta ceturtās daļas 2. punkta </w:t>
            </w:r>
            <w:r w:rsidR="00AB1B21">
              <w:rPr>
                <w:color w:val="000000"/>
                <w:bdr w:val="none" w:sz="0" w:space="0" w:color="auto" w:frame="1"/>
                <w:shd w:val="clear" w:color="auto" w:fill="FFFFFF"/>
              </w:rPr>
              <w:t>d</w:t>
            </w:r>
            <w:r w:rsidR="00AB1B21" w:rsidRPr="00AB1B21">
              <w:rPr>
                <w:color w:val="000000"/>
                <w:bdr w:val="none" w:sz="0" w:space="0" w:color="auto" w:frame="1"/>
                <w:shd w:val="clear" w:color="auto" w:fill="FFFFFF"/>
              </w:rPr>
              <w:t>) apakšpunkts</w:t>
            </w:r>
            <w:r w:rsidR="00AB1B21">
              <w:rPr>
                <w:color w:val="000000"/>
                <w:bdr w:val="none" w:sz="0" w:space="0" w:color="auto" w:frame="1"/>
                <w:shd w:val="clear" w:color="auto" w:fill="FFFFFF"/>
              </w:rPr>
              <w:t>. Šādā gadījumā arī n</w:t>
            </w:r>
            <w:r w:rsidR="00AB1B21" w:rsidRPr="00AB1B21">
              <w:rPr>
                <w:color w:val="000000"/>
                <w:bdr w:val="none" w:sz="0" w:space="0" w:color="auto" w:frame="1"/>
                <w:shd w:val="clear" w:color="auto" w:fill="FFFFFF"/>
              </w:rPr>
              <w:t>okavējuma nauda tiek aprēķināta no dienas, kad nokavējuma naudas aprēķināšana tika atjaunota</w:t>
            </w:r>
            <w:r w:rsidR="00AB1B21">
              <w:rPr>
                <w:color w:val="000000"/>
                <w:bdr w:val="none" w:sz="0" w:space="0" w:color="auto" w:frame="1"/>
                <w:shd w:val="clear" w:color="auto" w:fill="FFFFFF"/>
              </w:rPr>
              <w:t>. Ja TAP tiek pasludināts un izbeigts, neizpildot TAP pasākumu plānu, tiek pasludināts maksātnespējas process un nokavējuma nauda tādā gadījumā netiek atjaunota</w:t>
            </w:r>
            <w:r w:rsidR="005B3EC9">
              <w:rPr>
                <w:color w:val="000000"/>
                <w:bdr w:val="none" w:sz="0" w:space="0" w:color="auto" w:frame="1"/>
                <w:shd w:val="clear" w:color="auto" w:fill="FFFFFF"/>
              </w:rPr>
              <w:t xml:space="preserve"> – tās </w:t>
            </w:r>
            <w:r w:rsidR="005B3EC9">
              <w:rPr>
                <w:color w:val="000000"/>
                <w:bdr w:val="none" w:sz="0" w:space="0" w:color="auto" w:frame="1"/>
                <w:shd w:val="clear" w:color="auto" w:fill="FFFFFF"/>
              </w:rPr>
              <w:lastRenderedPageBreak/>
              <w:t>apturēšana tiek turpināta maksātnespējas procesā</w:t>
            </w:r>
            <w:r w:rsidR="00AB1B21">
              <w:rPr>
                <w:color w:val="000000"/>
                <w:bdr w:val="none" w:sz="0" w:space="0" w:color="auto" w:frame="1"/>
                <w:shd w:val="clear" w:color="auto" w:fill="FFFFFF"/>
              </w:rPr>
              <w:t>.</w:t>
            </w:r>
          </w:p>
        </w:tc>
      </w:tr>
      <w:tr w:rsidR="00D6087B" w14:paraId="4AAE470F" w14:textId="77777777" w:rsidTr="004E3F2A">
        <w:tc>
          <w:tcPr>
            <w:tcW w:w="750" w:type="dxa"/>
            <w:shd w:val="clear" w:color="auto" w:fill="FFFFFF"/>
            <w:noWrap/>
            <w:tcMar>
              <w:top w:w="75" w:type="dxa"/>
              <w:left w:w="75" w:type="dxa"/>
              <w:bottom w:w="75" w:type="dxa"/>
              <w:right w:w="75" w:type="dxa"/>
            </w:tcMar>
            <w:vAlign w:val="center"/>
          </w:tcPr>
          <w:p w14:paraId="4EDE3427" w14:textId="77777777" w:rsidR="00D6087B" w:rsidRPr="00D6087B" w:rsidRDefault="00D6087B" w:rsidP="00347302">
            <w:pPr>
              <w:pStyle w:val="Sarakstarindkopa"/>
              <w:numPr>
                <w:ilvl w:val="0"/>
                <w:numId w:val="1"/>
              </w:numPr>
              <w:spacing w:line="240" w:lineRule="auto"/>
              <w:jc w:val="center"/>
              <w:rPr>
                <w:b/>
              </w:rPr>
            </w:pPr>
          </w:p>
        </w:tc>
        <w:tc>
          <w:tcPr>
            <w:tcW w:w="2160" w:type="dxa"/>
            <w:shd w:val="clear" w:color="auto" w:fill="FFFFFF"/>
            <w:noWrap/>
            <w:tcMar>
              <w:top w:w="75" w:type="dxa"/>
              <w:left w:w="75" w:type="dxa"/>
              <w:bottom w:w="75" w:type="dxa"/>
              <w:right w:w="75" w:type="dxa"/>
            </w:tcMar>
            <w:vAlign w:val="center"/>
          </w:tcPr>
          <w:p w14:paraId="3D8394BC" w14:textId="49BF1164" w:rsidR="00D6087B" w:rsidRPr="00D6087B" w:rsidRDefault="00D6087B" w:rsidP="00347302">
            <w:pPr>
              <w:spacing w:line="240" w:lineRule="auto"/>
              <w:jc w:val="center"/>
              <w:rPr>
                <w:bCs/>
              </w:rPr>
            </w:pPr>
            <w:r w:rsidRPr="00D6087B">
              <w:rPr>
                <w:bCs/>
              </w:rPr>
              <w:t>Finanšu ministrija</w:t>
            </w:r>
          </w:p>
        </w:tc>
        <w:tc>
          <w:tcPr>
            <w:tcW w:w="6151" w:type="dxa"/>
            <w:shd w:val="clear" w:color="auto" w:fill="FFFFFF"/>
            <w:noWrap/>
            <w:tcMar>
              <w:top w:w="75" w:type="dxa"/>
              <w:left w:w="75" w:type="dxa"/>
              <w:bottom w:w="75" w:type="dxa"/>
              <w:right w:w="75" w:type="dxa"/>
            </w:tcMar>
            <w:vAlign w:val="center"/>
          </w:tcPr>
          <w:p w14:paraId="09F1D347" w14:textId="296DF013" w:rsidR="004B674D" w:rsidRDefault="004B674D" w:rsidP="00347302">
            <w:pPr>
              <w:spacing w:line="240" w:lineRule="auto"/>
              <w:jc w:val="center"/>
              <w:rPr>
                <w:bCs/>
              </w:rPr>
            </w:pPr>
            <w:r>
              <w:rPr>
                <w:color w:val="000000"/>
                <w:u w:val="single"/>
                <w:bdr w:val="none" w:sz="0" w:space="0" w:color="auto" w:frame="1"/>
                <w:shd w:val="clear" w:color="auto" w:fill="FFFFFF"/>
              </w:rPr>
              <w:t>29. panta ceturtās daļas 2. punkta b) apakšpunkta</w:t>
            </w:r>
          </w:p>
          <w:p w14:paraId="6303B2B8" w14:textId="75D510C9" w:rsidR="00E80784" w:rsidRPr="00E80784" w:rsidRDefault="00E80784" w:rsidP="00347302">
            <w:pPr>
              <w:spacing w:line="240" w:lineRule="auto"/>
              <w:jc w:val="center"/>
              <w:rPr>
                <w:bCs/>
              </w:rPr>
            </w:pPr>
            <w:r w:rsidRPr="00E80784">
              <w:rPr>
                <w:bCs/>
              </w:rPr>
              <w:t>Tāpat, šobrīd piedāvātā grozījumu redakcija paredz, ka nokavējuma nauda atjaunojama, ja “saskaņā ar tiesiskās aizsardzības procesa uzraugošās personas sniegtajām ziņām zaudējušas spēku uz likuma pamata un tiesā nav iesniegts tiesiskās aizsardzības procesa pasākumu plāns”. Nav saprotams, kā tas praktiski varētu darboties, jo Maksātnespējas likumā nekonstatējam norādes par to, ka TAP uzraugošajai personai pēc savas iniciatīvas būtu jāinformē kreditori par minētā gadījuma iestāšanos. Attiecīgi, vai, iestājoties šādam gadījumam, tā būs uzraugošās personas iniciatīva informēt kreditorus par šādu apstākļu esamību un secīgi, kreditori (VID) pēc informācijas saņemšanas veiks nokavējuma naudas atjaunošanu, vai arī tā būs kreditoru iniciatīva, proti kreditoram (VID) pašam jāvēršas pie uzraugošās personas un, ja tā apstiprina attiecīgo apstākļu pastāvēšanu, VID var veikt nokavējuma naudas aprēķina atjaunošanu.</w:t>
            </w:r>
          </w:p>
          <w:p w14:paraId="1FEC2B97" w14:textId="77777777" w:rsidR="00E80784" w:rsidRPr="00E80784" w:rsidRDefault="00E80784" w:rsidP="00347302">
            <w:pPr>
              <w:spacing w:line="240" w:lineRule="auto"/>
              <w:jc w:val="center"/>
              <w:rPr>
                <w:bCs/>
              </w:rPr>
            </w:pPr>
          </w:p>
          <w:p w14:paraId="7BEDBE98" w14:textId="4251052A" w:rsidR="00D6087B" w:rsidRDefault="00E80784" w:rsidP="00347302">
            <w:pPr>
              <w:spacing w:line="240" w:lineRule="auto"/>
              <w:jc w:val="center"/>
              <w:rPr>
                <w:b/>
              </w:rPr>
            </w:pPr>
            <w:r w:rsidRPr="00E80784">
              <w:rPr>
                <w:bCs/>
              </w:rPr>
              <w:lastRenderedPageBreak/>
              <w:t>Lūdzam likumprojekta anotācijā konkretizēt nokavējuma naudas atjaunošanas praktiskos aspektus, aprakstot, kādas darbības un kādā secībā ir jāveic iesaistītajām personām (kreditoriem/uzraugošajai personai), lai tiktu atjaunota nokavējuma naudas aprēķināšana.</w:t>
            </w:r>
          </w:p>
        </w:tc>
        <w:tc>
          <w:tcPr>
            <w:tcW w:w="1350" w:type="dxa"/>
            <w:shd w:val="clear" w:color="auto" w:fill="FFFFFF"/>
            <w:noWrap/>
            <w:tcMar>
              <w:top w:w="75" w:type="dxa"/>
              <w:left w:w="75" w:type="dxa"/>
              <w:bottom w:w="75" w:type="dxa"/>
              <w:right w:w="75" w:type="dxa"/>
            </w:tcMar>
            <w:vAlign w:val="center"/>
          </w:tcPr>
          <w:p w14:paraId="6AB5C64D" w14:textId="4CB2341C" w:rsidR="00D6087B" w:rsidRDefault="00E80784" w:rsidP="00347302">
            <w:pPr>
              <w:spacing w:line="240" w:lineRule="auto"/>
              <w:jc w:val="center"/>
              <w:rPr>
                <w:b/>
              </w:rPr>
            </w:pPr>
            <w:r>
              <w:rPr>
                <w:b/>
              </w:rPr>
              <w:lastRenderedPageBreak/>
              <w:t>Ņemts vērā</w:t>
            </w:r>
          </w:p>
        </w:tc>
        <w:tc>
          <w:tcPr>
            <w:tcW w:w="4156" w:type="dxa"/>
            <w:shd w:val="clear" w:color="auto" w:fill="FFFFFF"/>
            <w:noWrap/>
            <w:tcMar>
              <w:top w:w="75" w:type="dxa"/>
              <w:left w:w="75" w:type="dxa"/>
              <w:bottom w:w="75" w:type="dxa"/>
              <w:right w:w="75" w:type="dxa"/>
            </w:tcMar>
            <w:vAlign w:val="center"/>
          </w:tcPr>
          <w:p w14:paraId="5A856631" w14:textId="778068E8" w:rsidR="00D6087B" w:rsidRDefault="008654CB" w:rsidP="00347302">
            <w:pPr>
              <w:spacing w:line="240" w:lineRule="auto"/>
              <w:jc w:val="center"/>
              <w:rPr>
                <w:b/>
              </w:rPr>
            </w:pPr>
            <w:r>
              <w:rPr>
                <w:bCs/>
              </w:rPr>
              <w:t>A</w:t>
            </w:r>
            <w:r w:rsidR="00E80784" w:rsidRPr="00C826D2">
              <w:rPr>
                <w:bCs/>
              </w:rPr>
              <w:t>notācija</w:t>
            </w:r>
            <w:r w:rsidR="00770DA6">
              <w:rPr>
                <w:bCs/>
              </w:rPr>
              <w:t xml:space="preserve"> </w:t>
            </w:r>
            <w:r>
              <w:rPr>
                <w:bCs/>
              </w:rPr>
              <w:t>p</w:t>
            </w:r>
            <w:r w:rsidRPr="00C826D2">
              <w:rPr>
                <w:bCs/>
              </w:rPr>
              <w:t xml:space="preserve">apildināta </w:t>
            </w:r>
            <w:r w:rsidR="00770DA6">
              <w:rPr>
                <w:bCs/>
              </w:rPr>
              <w:t>ar skaidrojumu</w:t>
            </w:r>
            <w:r>
              <w:rPr>
                <w:bCs/>
              </w:rPr>
              <w:t>.</w:t>
            </w:r>
          </w:p>
        </w:tc>
      </w:tr>
      <w:tr w:rsidR="00D6087B" w14:paraId="32FC5733" w14:textId="77777777" w:rsidTr="004E3F2A">
        <w:tc>
          <w:tcPr>
            <w:tcW w:w="750" w:type="dxa"/>
            <w:shd w:val="clear" w:color="auto" w:fill="FFFFFF"/>
            <w:noWrap/>
            <w:tcMar>
              <w:top w:w="75" w:type="dxa"/>
              <w:left w:w="75" w:type="dxa"/>
              <w:bottom w:w="75" w:type="dxa"/>
              <w:right w:w="75" w:type="dxa"/>
            </w:tcMar>
            <w:vAlign w:val="center"/>
          </w:tcPr>
          <w:p w14:paraId="520D3898" w14:textId="77777777" w:rsidR="00D6087B" w:rsidRPr="00D6087B" w:rsidRDefault="00D6087B" w:rsidP="00347302">
            <w:pPr>
              <w:pStyle w:val="Sarakstarindkopa"/>
              <w:numPr>
                <w:ilvl w:val="0"/>
                <w:numId w:val="1"/>
              </w:numPr>
              <w:spacing w:line="240" w:lineRule="auto"/>
              <w:jc w:val="center"/>
              <w:rPr>
                <w:b/>
              </w:rPr>
            </w:pPr>
          </w:p>
        </w:tc>
        <w:tc>
          <w:tcPr>
            <w:tcW w:w="2160" w:type="dxa"/>
            <w:shd w:val="clear" w:color="auto" w:fill="FFFFFF"/>
            <w:noWrap/>
            <w:tcMar>
              <w:top w:w="75" w:type="dxa"/>
              <w:left w:w="75" w:type="dxa"/>
              <w:bottom w:w="75" w:type="dxa"/>
              <w:right w:w="75" w:type="dxa"/>
            </w:tcMar>
            <w:vAlign w:val="center"/>
          </w:tcPr>
          <w:p w14:paraId="6040F130" w14:textId="420AF348" w:rsidR="00D6087B" w:rsidRPr="00D6087B" w:rsidRDefault="00D6087B" w:rsidP="00347302">
            <w:pPr>
              <w:spacing w:line="240" w:lineRule="auto"/>
              <w:jc w:val="center"/>
              <w:rPr>
                <w:bCs/>
              </w:rPr>
            </w:pPr>
            <w:r w:rsidRPr="00D6087B">
              <w:rPr>
                <w:bCs/>
              </w:rPr>
              <w:t>Finanšu ministrija</w:t>
            </w:r>
          </w:p>
        </w:tc>
        <w:tc>
          <w:tcPr>
            <w:tcW w:w="6151" w:type="dxa"/>
            <w:shd w:val="clear" w:color="auto" w:fill="FFFFFF"/>
            <w:noWrap/>
            <w:tcMar>
              <w:top w:w="75" w:type="dxa"/>
              <w:left w:w="75" w:type="dxa"/>
              <w:bottom w:w="75" w:type="dxa"/>
              <w:right w:w="75" w:type="dxa"/>
            </w:tcMar>
            <w:vAlign w:val="center"/>
          </w:tcPr>
          <w:p w14:paraId="72B0E675" w14:textId="50E9D5A7" w:rsidR="00E80784" w:rsidRDefault="00E80784" w:rsidP="00347302">
            <w:pPr>
              <w:spacing w:line="240" w:lineRule="auto"/>
              <w:jc w:val="center"/>
              <w:rPr>
                <w:bCs/>
              </w:rPr>
            </w:pPr>
            <w:r>
              <w:rPr>
                <w:color w:val="000000"/>
                <w:u w:val="single"/>
                <w:bdr w:val="none" w:sz="0" w:space="0" w:color="auto" w:frame="1"/>
                <w:shd w:val="clear" w:color="auto" w:fill="FFFFFF"/>
              </w:rPr>
              <w:t>29. panta ceturtās daļas 2. punkta d) apakšpunkts</w:t>
            </w:r>
          </w:p>
          <w:p w14:paraId="3671B3B4" w14:textId="3D2294BD" w:rsidR="00D6087B" w:rsidRPr="00E80784" w:rsidRDefault="00E80784" w:rsidP="00347302">
            <w:pPr>
              <w:spacing w:line="240" w:lineRule="auto"/>
              <w:jc w:val="center"/>
              <w:rPr>
                <w:bCs/>
              </w:rPr>
            </w:pPr>
            <w:r w:rsidRPr="00E80784">
              <w:rPr>
                <w:bCs/>
              </w:rPr>
              <w:t>Vēršam uzmanību, ka grozījumos konkrētā norma tiek “izteikta” jaunā redakcijā, lai gan šobrīd likumā “Par nodokļiem un nodevām” nav 29. panta ceturtās daļas 2. punkta d) apakšpunkta, līdz ar to likumprojektā tā ir jauna norma.</w:t>
            </w:r>
            <w:r w:rsidRPr="00E80784">
              <w:rPr>
                <w:bCs/>
              </w:rPr>
              <w:br/>
            </w:r>
            <w:r w:rsidRPr="00E80784">
              <w:rPr>
                <w:bCs/>
              </w:rPr>
              <w:br/>
              <w:t>Lūdzam likumprojektā minētajā teikumā vārdu “izteikt” aizstāt ar vārdu “papildināt”.</w:t>
            </w:r>
          </w:p>
        </w:tc>
        <w:tc>
          <w:tcPr>
            <w:tcW w:w="1350" w:type="dxa"/>
            <w:shd w:val="clear" w:color="auto" w:fill="FFFFFF"/>
            <w:noWrap/>
            <w:tcMar>
              <w:top w:w="75" w:type="dxa"/>
              <w:left w:w="75" w:type="dxa"/>
              <w:bottom w:w="75" w:type="dxa"/>
              <w:right w:w="75" w:type="dxa"/>
            </w:tcMar>
            <w:vAlign w:val="center"/>
          </w:tcPr>
          <w:p w14:paraId="4307BE22" w14:textId="259870AA" w:rsidR="00D6087B" w:rsidRDefault="00E80784" w:rsidP="00347302">
            <w:pPr>
              <w:spacing w:line="240" w:lineRule="auto"/>
              <w:jc w:val="center"/>
              <w:rPr>
                <w:b/>
              </w:rPr>
            </w:pPr>
            <w:r>
              <w:rPr>
                <w:b/>
              </w:rPr>
              <w:t>Ņemts vērā</w:t>
            </w:r>
          </w:p>
        </w:tc>
        <w:tc>
          <w:tcPr>
            <w:tcW w:w="4156" w:type="dxa"/>
            <w:shd w:val="clear" w:color="auto" w:fill="FFFFFF"/>
            <w:noWrap/>
            <w:tcMar>
              <w:top w:w="75" w:type="dxa"/>
              <w:left w:w="75" w:type="dxa"/>
              <w:bottom w:w="75" w:type="dxa"/>
              <w:right w:w="75" w:type="dxa"/>
            </w:tcMar>
            <w:vAlign w:val="center"/>
          </w:tcPr>
          <w:p w14:paraId="1B15EB9B" w14:textId="1445752F" w:rsidR="00D6087B" w:rsidRDefault="00835D6A" w:rsidP="00347302">
            <w:pPr>
              <w:spacing w:line="240" w:lineRule="auto"/>
              <w:jc w:val="center"/>
              <w:rPr>
                <w:b/>
              </w:rPr>
            </w:pPr>
            <w:r w:rsidRPr="00835D6A">
              <w:rPr>
                <w:bCs/>
              </w:rPr>
              <w:t>Vārdi aizstāti</w:t>
            </w:r>
            <w:r w:rsidR="008654CB">
              <w:rPr>
                <w:bCs/>
              </w:rPr>
              <w:t>.</w:t>
            </w:r>
          </w:p>
        </w:tc>
      </w:tr>
      <w:tr w:rsidR="00D6087B" w14:paraId="2F11AED0" w14:textId="77777777" w:rsidTr="004E3F2A">
        <w:tc>
          <w:tcPr>
            <w:tcW w:w="750" w:type="dxa"/>
            <w:shd w:val="clear" w:color="auto" w:fill="FFFFFF"/>
            <w:noWrap/>
            <w:tcMar>
              <w:top w:w="75" w:type="dxa"/>
              <w:left w:w="75" w:type="dxa"/>
              <w:bottom w:w="75" w:type="dxa"/>
              <w:right w:w="75" w:type="dxa"/>
            </w:tcMar>
            <w:vAlign w:val="center"/>
          </w:tcPr>
          <w:p w14:paraId="0990ED17" w14:textId="77777777" w:rsidR="00D6087B" w:rsidRPr="00D6087B" w:rsidRDefault="00D6087B" w:rsidP="00347302">
            <w:pPr>
              <w:pStyle w:val="Sarakstarindkopa"/>
              <w:numPr>
                <w:ilvl w:val="0"/>
                <w:numId w:val="1"/>
              </w:numPr>
              <w:spacing w:line="240" w:lineRule="auto"/>
              <w:jc w:val="center"/>
              <w:rPr>
                <w:b/>
              </w:rPr>
            </w:pPr>
          </w:p>
        </w:tc>
        <w:tc>
          <w:tcPr>
            <w:tcW w:w="2160" w:type="dxa"/>
            <w:shd w:val="clear" w:color="auto" w:fill="FFFFFF"/>
            <w:noWrap/>
            <w:tcMar>
              <w:top w:w="75" w:type="dxa"/>
              <w:left w:w="75" w:type="dxa"/>
              <w:bottom w:w="75" w:type="dxa"/>
              <w:right w:w="75" w:type="dxa"/>
            </w:tcMar>
            <w:vAlign w:val="center"/>
          </w:tcPr>
          <w:p w14:paraId="17E438FD" w14:textId="3923F5B6" w:rsidR="00D6087B" w:rsidRPr="00D6087B" w:rsidRDefault="00D6087B" w:rsidP="00347302">
            <w:pPr>
              <w:spacing w:line="240" w:lineRule="auto"/>
              <w:jc w:val="center"/>
              <w:rPr>
                <w:bCs/>
              </w:rPr>
            </w:pPr>
            <w:r w:rsidRPr="00D6087B">
              <w:rPr>
                <w:bCs/>
              </w:rPr>
              <w:t>Finanšu ministrija</w:t>
            </w:r>
          </w:p>
        </w:tc>
        <w:tc>
          <w:tcPr>
            <w:tcW w:w="6151" w:type="dxa"/>
            <w:shd w:val="clear" w:color="auto" w:fill="FFFFFF"/>
            <w:noWrap/>
            <w:tcMar>
              <w:top w:w="75" w:type="dxa"/>
              <w:left w:w="75" w:type="dxa"/>
              <w:bottom w:w="75" w:type="dxa"/>
              <w:right w:w="75" w:type="dxa"/>
            </w:tcMar>
            <w:vAlign w:val="center"/>
          </w:tcPr>
          <w:p w14:paraId="08055CEE" w14:textId="746C8870" w:rsidR="00E80784" w:rsidRPr="00E80784" w:rsidRDefault="00E80784" w:rsidP="00347302">
            <w:pPr>
              <w:spacing w:line="240" w:lineRule="auto"/>
              <w:jc w:val="center"/>
              <w:rPr>
                <w:color w:val="000000"/>
                <w:u w:val="single"/>
                <w:bdr w:val="none" w:sz="0" w:space="0" w:color="auto" w:frame="1"/>
                <w:shd w:val="clear" w:color="auto" w:fill="FFFFFF"/>
              </w:rPr>
            </w:pPr>
            <w:r w:rsidRPr="00E80784">
              <w:rPr>
                <w:color w:val="000000"/>
                <w:u w:val="single"/>
                <w:bdr w:val="none" w:sz="0" w:space="0" w:color="auto" w:frame="1"/>
                <w:shd w:val="clear" w:color="auto" w:fill="FFFFFF"/>
              </w:rPr>
              <w:t>29. panta ceturtās daļas 2. punkta d) apakšpunkts</w:t>
            </w:r>
          </w:p>
          <w:p w14:paraId="65224BB5" w14:textId="3EACD8C9" w:rsidR="00E80784" w:rsidRPr="00E80784" w:rsidRDefault="00E80784" w:rsidP="00347302">
            <w:pPr>
              <w:spacing w:line="240" w:lineRule="auto"/>
              <w:jc w:val="center"/>
              <w:rPr>
                <w:bCs/>
              </w:rPr>
            </w:pPr>
            <w:r w:rsidRPr="00E80784">
              <w:rPr>
                <w:bCs/>
              </w:rPr>
              <w:t>Līdzīgi kā pie iepriekšējā (2.) punkta minēts, arī no šīs normas nav saprotams, vai tā attiecas uz visiem gadījumiem, t.i. neatkarīgi no tā, vai TAP ir izbeigts ar izpildi vai neizpildi. Tāpat arī attiecībā uz nokavējuma naudas aprēķina atjaunošanas brīdi atkarībā no izbeigšanas pamatojuma.</w:t>
            </w:r>
          </w:p>
          <w:p w14:paraId="6FBF524A" w14:textId="77777777" w:rsidR="00E80784" w:rsidRPr="00E80784" w:rsidRDefault="00E80784" w:rsidP="00347302">
            <w:pPr>
              <w:spacing w:line="240" w:lineRule="auto"/>
              <w:jc w:val="center"/>
              <w:rPr>
                <w:bCs/>
              </w:rPr>
            </w:pPr>
            <w:r w:rsidRPr="00E80784">
              <w:rPr>
                <w:bCs/>
              </w:rPr>
              <w:t xml:space="preserve"> </w:t>
            </w:r>
          </w:p>
          <w:p w14:paraId="19C4E489" w14:textId="77777777" w:rsidR="00E80784" w:rsidRPr="00E80784" w:rsidRDefault="00E80784" w:rsidP="00347302">
            <w:pPr>
              <w:spacing w:line="240" w:lineRule="auto"/>
              <w:jc w:val="center"/>
              <w:rPr>
                <w:bCs/>
              </w:rPr>
            </w:pPr>
          </w:p>
          <w:p w14:paraId="296B0D24" w14:textId="318014CB" w:rsidR="00D6087B" w:rsidRPr="00E80784" w:rsidRDefault="00E80784" w:rsidP="00347302">
            <w:pPr>
              <w:spacing w:line="240" w:lineRule="auto"/>
              <w:jc w:val="center"/>
              <w:rPr>
                <w:bCs/>
              </w:rPr>
            </w:pPr>
            <w:r w:rsidRPr="00E80784">
              <w:rPr>
                <w:bCs/>
              </w:rPr>
              <w:t xml:space="preserve">Lūdzam attiecīgi precizēt minētā punkta redakciju un anotāciju, lai būtu saprotams, uz kādiem gadījumiem </w:t>
            </w:r>
            <w:r w:rsidRPr="00E80784">
              <w:rPr>
                <w:bCs/>
              </w:rPr>
              <w:lastRenderedPageBreak/>
              <w:t>norma attiecas un no kura brīža ir atjaunojams nokavējuma naudas aprēķins katrā gadījumā.</w:t>
            </w:r>
          </w:p>
        </w:tc>
        <w:tc>
          <w:tcPr>
            <w:tcW w:w="1350" w:type="dxa"/>
            <w:shd w:val="clear" w:color="auto" w:fill="FFFFFF"/>
            <w:noWrap/>
            <w:tcMar>
              <w:top w:w="75" w:type="dxa"/>
              <w:left w:w="75" w:type="dxa"/>
              <w:bottom w:w="75" w:type="dxa"/>
              <w:right w:w="75" w:type="dxa"/>
            </w:tcMar>
            <w:vAlign w:val="center"/>
          </w:tcPr>
          <w:p w14:paraId="0AE3DFA5" w14:textId="34221B34" w:rsidR="00D6087B" w:rsidRDefault="005B3EC9" w:rsidP="00347302">
            <w:pPr>
              <w:spacing w:line="240" w:lineRule="auto"/>
              <w:jc w:val="center"/>
              <w:rPr>
                <w:b/>
              </w:rPr>
            </w:pPr>
            <w:r>
              <w:rPr>
                <w:b/>
              </w:rPr>
              <w:lastRenderedPageBreak/>
              <w:t>Ņemts</w:t>
            </w:r>
            <w:r w:rsidR="00E80784">
              <w:rPr>
                <w:b/>
              </w:rPr>
              <w:t xml:space="preserve"> vērā</w:t>
            </w:r>
          </w:p>
        </w:tc>
        <w:tc>
          <w:tcPr>
            <w:tcW w:w="4156" w:type="dxa"/>
            <w:shd w:val="clear" w:color="auto" w:fill="FFFFFF"/>
            <w:noWrap/>
            <w:tcMar>
              <w:top w:w="75" w:type="dxa"/>
              <w:left w:w="75" w:type="dxa"/>
              <w:bottom w:w="75" w:type="dxa"/>
              <w:right w:w="75" w:type="dxa"/>
            </w:tcMar>
            <w:vAlign w:val="center"/>
          </w:tcPr>
          <w:p w14:paraId="63076DF1" w14:textId="65E95734" w:rsidR="006671E1" w:rsidRPr="00E360EF" w:rsidRDefault="005B3EC9" w:rsidP="00347302">
            <w:pPr>
              <w:spacing w:line="240" w:lineRule="auto"/>
              <w:jc w:val="center"/>
              <w:rPr>
                <w:bCs/>
              </w:rPr>
            </w:pPr>
            <w:r>
              <w:rPr>
                <w:bCs/>
              </w:rPr>
              <w:t xml:space="preserve">Punkta redakcija tika precizēta ar norādi, ka tas attiecas uz gadījumiem, kad TAP pasākumu plāns tika izpildīts. Vēršam uzmanību, ka </w:t>
            </w:r>
            <w:r w:rsidR="00E80784" w:rsidRPr="006671E1">
              <w:rPr>
                <w:bCs/>
              </w:rPr>
              <w:t xml:space="preserve">29. panta ceturtās daļas 2. punkta d) apakšpunkts attiecas uz gadījumiem, kad TAP jau ir pasludināts. </w:t>
            </w:r>
            <w:r w:rsidR="006671E1" w:rsidRPr="006671E1">
              <w:rPr>
                <w:bCs/>
              </w:rPr>
              <w:t xml:space="preserve">Atbilstoši Maksātnespējas likuma 51. pantam, ja TAP tiek izbeigts neizpildot plānu, tiesa izbeidz tiesiskās aizsardzības procesu un pasludina </w:t>
            </w:r>
            <w:r w:rsidR="006671E1" w:rsidRPr="006671E1">
              <w:rPr>
                <w:bCs/>
              </w:rPr>
              <w:lastRenderedPageBreak/>
              <w:t>maksātnespējas procesu. Tādā gadījumā nokavējuma nauda netiks atjaunota.</w:t>
            </w:r>
          </w:p>
        </w:tc>
      </w:tr>
      <w:tr w:rsidR="00D6087B" w14:paraId="2A1763C6" w14:textId="77777777" w:rsidTr="004E3F2A">
        <w:tc>
          <w:tcPr>
            <w:tcW w:w="750" w:type="dxa"/>
            <w:shd w:val="clear" w:color="auto" w:fill="FFFFFF"/>
            <w:noWrap/>
            <w:tcMar>
              <w:top w:w="75" w:type="dxa"/>
              <w:left w:w="75" w:type="dxa"/>
              <w:bottom w:w="75" w:type="dxa"/>
              <w:right w:w="75" w:type="dxa"/>
            </w:tcMar>
            <w:vAlign w:val="center"/>
          </w:tcPr>
          <w:p w14:paraId="4C036562" w14:textId="77777777" w:rsidR="00D6087B" w:rsidRPr="006671E1" w:rsidRDefault="00D6087B" w:rsidP="00347302">
            <w:pPr>
              <w:pStyle w:val="Sarakstarindkopa"/>
              <w:numPr>
                <w:ilvl w:val="0"/>
                <w:numId w:val="1"/>
              </w:numPr>
              <w:spacing w:line="240" w:lineRule="auto"/>
              <w:jc w:val="center"/>
              <w:rPr>
                <w:b/>
              </w:rPr>
            </w:pPr>
          </w:p>
        </w:tc>
        <w:tc>
          <w:tcPr>
            <w:tcW w:w="2160" w:type="dxa"/>
            <w:shd w:val="clear" w:color="auto" w:fill="FFFFFF"/>
            <w:noWrap/>
            <w:tcMar>
              <w:top w:w="75" w:type="dxa"/>
              <w:left w:w="75" w:type="dxa"/>
              <w:bottom w:w="75" w:type="dxa"/>
              <w:right w:w="75" w:type="dxa"/>
            </w:tcMar>
            <w:vAlign w:val="center"/>
          </w:tcPr>
          <w:p w14:paraId="39553E43" w14:textId="57D4601D" w:rsidR="00D6087B" w:rsidRDefault="006671E1" w:rsidP="00347302">
            <w:pPr>
              <w:spacing w:line="240" w:lineRule="auto"/>
              <w:jc w:val="center"/>
              <w:rPr>
                <w:b/>
              </w:rPr>
            </w:pPr>
            <w:r w:rsidRPr="006671E1">
              <w:rPr>
                <w:bCs/>
              </w:rPr>
              <w:t>Finanšu ministrija</w:t>
            </w:r>
          </w:p>
        </w:tc>
        <w:tc>
          <w:tcPr>
            <w:tcW w:w="6151" w:type="dxa"/>
            <w:shd w:val="clear" w:color="auto" w:fill="FFFFFF"/>
            <w:noWrap/>
            <w:tcMar>
              <w:top w:w="75" w:type="dxa"/>
              <w:left w:w="75" w:type="dxa"/>
              <w:bottom w:w="75" w:type="dxa"/>
              <w:right w:w="75" w:type="dxa"/>
            </w:tcMar>
            <w:vAlign w:val="center"/>
          </w:tcPr>
          <w:p w14:paraId="03901233" w14:textId="77777777" w:rsidR="006671E1" w:rsidRPr="006671E1" w:rsidRDefault="006671E1" w:rsidP="00347302">
            <w:pPr>
              <w:spacing w:line="240" w:lineRule="auto"/>
              <w:jc w:val="center"/>
              <w:rPr>
                <w:bCs/>
              </w:rPr>
            </w:pPr>
            <w:r w:rsidRPr="006671E1">
              <w:rPr>
                <w:bCs/>
              </w:rPr>
              <w:t>Kopsakarā ar Maksātnespējas likumā paredzēto iespēju atcelt TAP ierosināšanas sekas un šobrīd piedāvāto likumprojekta anotācijā norādīto - tiesa var lemt par minēto seku atcelšanu vēl pirms minēto termiņu iestāšanās, kas nozīmē, ka parādniekam vairs netiks piemērota tiesas aizsardzība un kreditori, tai skaitā nodokļu administrācija varēs atsākt veikt individuālas darbības pret kreditoru (kas ietver arī nokavējuma naudas aprēķināšanas atjaunošanu)</w:t>
            </w:r>
          </w:p>
          <w:p w14:paraId="4916D830" w14:textId="77777777" w:rsidR="006671E1" w:rsidRPr="006671E1" w:rsidRDefault="006671E1" w:rsidP="00347302">
            <w:pPr>
              <w:spacing w:line="240" w:lineRule="auto"/>
              <w:jc w:val="center"/>
              <w:rPr>
                <w:bCs/>
              </w:rPr>
            </w:pPr>
            <w:r w:rsidRPr="006671E1">
              <w:rPr>
                <w:bCs/>
              </w:rPr>
              <w:t xml:space="preserve"> </w:t>
            </w:r>
          </w:p>
          <w:p w14:paraId="0C7082FB" w14:textId="77777777" w:rsidR="006671E1" w:rsidRPr="006671E1" w:rsidRDefault="006671E1" w:rsidP="00347302">
            <w:pPr>
              <w:spacing w:line="240" w:lineRule="auto"/>
              <w:jc w:val="center"/>
              <w:rPr>
                <w:bCs/>
              </w:rPr>
            </w:pPr>
          </w:p>
          <w:p w14:paraId="16426C21" w14:textId="535D8CFB" w:rsidR="00D6087B" w:rsidRDefault="006671E1" w:rsidP="00347302">
            <w:pPr>
              <w:spacing w:line="240" w:lineRule="auto"/>
              <w:jc w:val="center"/>
              <w:rPr>
                <w:b/>
              </w:rPr>
            </w:pPr>
            <w:r w:rsidRPr="006671E1">
              <w:rPr>
                <w:bCs/>
              </w:rPr>
              <w:t>Lūdzam izvērtēt, vai nebūtu izdarāmi attiecīgi grozījumi likuma “Par nodokļiem un nodevām” 26. pantā, jo, neskatoties uz to, ka TAP ierosināšanas sekas var tikt atceltas neatkarīgi no tā, ka parādnieka TAP nav izbeigts un tātad, neskatoties uz esošu TAP, var atsākt piedziņas darbības pret parādnieku, likuma “Par nodokļiem un nodevām” 26. panta sestās daļas 5. punktā joprojām noteikts, ka nokavēto nodokļu maksājumu piedziņu bezstrīda kārtībā neuzsāk un uzsākto nokavēto nodokļu maksājumu piedziņu bezstrīda kārtībā aptur, ja stājies spēkā tiesas lēmums par tiesiskās aizsardzības procesa ierosināšanu.</w:t>
            </w:r>
          </w:p>
        </w:tc>
        <w:tc>
          <w:tcPr>
            <w:tcW w:w="1350" w:type="dxa"/>
            <w:shd w:val="clear" w:color="auto" w:fill="FFFFFF"/>
            <w:noWrap/>
            <w:tcMar>
              <w:top w:w="75" w:type="dxa"/>
              <w:left w:w="75" w:type="dxa"/>
              <w:bottom w:w="75" w:type="dxa"/>
              <w:right w:w="75" w:type="dxa"/>
            </w:tcMar>
            <w:vAlign w:val="center"/>
          </w:tcPr>
          <w:p w14:paraId="0D3AF506" w14:textId="36441CA6" w:rsidR="00D6087B" w:rsidRDefault="006671E1" w:rsidP="00347302">
            <w:pPr>
              <w:spacing w:line="240" w:lineRule="auto"/>
              <w:jc w:val="center"/>
              <w:rPr>
                <w:b/>
              </w:rPr>
            </w:pPr>
            <w:r>
              <w:rPr>
                <w:b/>
              </w:rPr>
              <w:t>Ņemts vērā</w:t>
            </w:r>
          </w:p>
        </w:tc>
        <w:tc>
          <w:tcPr>
            <w:tcW w:w="4156" w:type="dxa"/>
            <w:shd w:val="clear" w:color="auto" w:fill="FFFFFF"/>
            <w:noWrap/>
            <w:tcMar>
              <w:top w:w="75" w:type="dxa"/>
              <w:left w:w="75" w:type="dxa"/>
              <w:bottom w:w="75" w:type="dxa"/>
              <w:right w:w="75" w:type="dxa"/>
            </w:tcMar>
            <w:vAlign w:val="center"/>
          </w:tcPr>
          <w:p w14:paraId="29D6A226" w14:textId="0048F46F" w:rsidR="00D6087B" w:rsidRDefault="004E3F2A" w:rsidP="00347302">
            <w:pPr>
              <w:spacing w:line="240" w:lineRule="auto"/>
              <w:jc w:val="center"/>
              <w:rPr>
                <w:b/>
              </w:rPr>
            </w:pPr>
            <w:r w:rsidRPr="00835D6A">
              <w:rPr>
                <w:bCs/>
              </w:rPr>
              <w:t xml:space="preserve">Grozījumu </w:t>
            </w:r>
            <w:r w:rsidR="008D7AD7" w:rsidRPr="00835D6A">
              <w:rPr>
                <w:bCs/>
              </w:rPr>
              <w:t>projekts papildināts ar 3. punktu</w:t>
            </w:r>
          </w:p>
        </w:tc>
      </w:tr>
    </w:tbl>
    <w:p w14:paraId="73F37C39" w14:textId="77777777" w:rsidR="002C0B66" w:rsidRDefault="002C0B66"/>
    <w:sectPr w:rsidR="002C0B66">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A7B93" w14:textId="77777777" w:rsidR="00CE6D32" w:rsidRDefault="00CE6D32">
      <w:r>
        <w:separator/>
      </w:r>
    </w:p>
  </w:endnote>
  <w:endnote w:type="continuationSeparator" w:id="0">
    <w:p w14:paraId="31481A4B" w14:textId="77777777" w:rsidR="00CE6D32" w:rsidRDefault="00CE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E850" w14:textId="5480AEFF" w:rsidR="00DD0961" w:rsidRDefault="00CE6D32">
    <w:pPr>
      <w:jc w:val="right"/>
    </w:pPr>
    <w:r>
      <w:rPr>
        <w:sz w:val="24"/>
        <w:szCs w:val="24"/>
      </w:rPr>
      <w:fldChar w:fldCharType="begin"/>
    </w:r>
    <w:r>
      <w:rPr>
        <w:sz w:val="24"/>
        <w:szCs w:val="24"/>
      </w:rPr>
      <w:instrText>PAGE</w:instrText>
    </w:r>
    <w:r>
      <w:rPr>
        <w:sz w:val="24"/>
        <w:szCs w:val="24"/>
      </w:rPr>
      <w:fldChar w:fldCharType="separate"/>
    </w:r>
    <w:r w:rsidR="00D6087B">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75A7" w14:textId="77777777" w:rsidR="00AF1E11" w:rsidRDefault="00CE6D3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CF8C4" w14:textId="77777777" w:rsidR="00CE6D32" w:rsidRDefault="00CE6D32">
      <w:r>
        <w:separator/>
      </w:r>
    </w:p>
  </w:footnote>
  <w:footnote w:type="continuationSeparator" w:id="0">
    <w:p w14:paraId="006CB631" w14:textId="77777777" w:rsidR="00CE6D32" w:rsidRDefault="00CE6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D3AB2" w14:textId="77777777" w:rsidR="00DD0961" w:rsidRDefault="00CE6D32">
    <w:pPr>
      <w:pStyle w:val="Galvene"/>
      <w:contextualSpacing w:val="0"/>
    </w:pPr>
    <w:r>
      <w:t>Viedokļu pārskats 23-TA-1398</w:t>
    </w:r>
    <w:r>
      <w:br/>
      <w:t>Izdrukāts 31.08.2023. 11.16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CCA1" w14:textId="77777777" w:rsidR="00DD0961" w:rsidRDefault="00CE6D32">
    <w:pPr>
      <w:pStyle w:val="Galvene"/>
      <w:contextualSpacing w:val="0"/>
    </w:pPr>
    <w:r>
      <w:t>Viedokļu pārskats 23-TA-1398</w:t>
    </w:r>
    <w:r>
      <w:br/>
      <w:t>Izdrukāts 31.08.2023. 11.16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A428E"/>
    <w:multiLevelType w:val="hybridMultilevel"/>
    <w:tmpl w:val="645A53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886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961"/>
    <w:rsid w:val="00025242"/>
    <w:rsid w:val="00087FB5"/>
    <w:rsid w:val="002B33B8"/>
    <w:rsid w:val="002C0B66"/>
    <w:rsid w:val="00347302"/>
    <w:rsid w:val="003816A4"/>
    <w:rsid w:val="003C2345"/>
    <w:rsid w:val="004B674D"/>
    <w:rsid w:val="004E29D7"/>
    <w:rsid w:val="004E2AA8"/>
    <w:rsid w:val="004E3F2A"/>
    <w:rsid w:val="005B3EC9"/>
    <w:rsid w:val="00615BEF"/>
    <w:rsid w:val="006671E1"/>
    <w:rsid w:val="00770DA6"/>
    <w:rsid w:val="00803718"/>
    <w:rsid w:val="00835D6A"/>
    <w:rsid w:val="00861A39"/>
    <w:rsid w:val="008654CB"/>
    <w:rsid w:val="008D7AD7"/>
    <w:rsid w:val="00987798"/>
    <w:rsid w:val="00A14B76"/>
    <w:rsid w:val="00A16584"/>
    <w:rsid w:val="00A7699E"/>
    <w:rsid w:val="00AB1B21"/>
    <w:rsid w:val="00AE5F90"/>
    <w:rsid w:val="00AF1E11"/>
    <w:rsid w:val="00B2124A"/>
    <w:rsid w:val="00C826D2"/>
    <w:rsid w:val="00CE6D32"/>
    <w:rsid w:val="00D6087B"/>
    <w:rsid w:val="00DD0961"/>
    <w:rsid w:val="00E360EF"/>
    <w:rsid w:val="00E80784"/>
    <w:rsid w:val="00E97A43"/>
    <w:rsid w:val="00EC08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B94DB"/>
  <w15:docId w15:val="{BB5FAA72-0E19-4D86-BB19-CBE59831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1">
    <w:name w:val="1"/>
    <w:basedOn w:val="TableNormal"/>
    <w:tblPr>
      <w:tblStyleRowBandSize w:val="1"/>
      <w:tblStyleColBandSize w:val="1"/>
    </w:tblPr>
  </w:style>
  <w:style w:type="paragraph" w:styleId="Sarakstarindkopa">
    <w:name w:val="List Paragraph"/>
    <w:basedOn w:val="Parasts"/>
    <w:uiPriority w:val="34"/>
    <w:qFormat/>
    <w:rsid w:val="00D6087B"/>
    <w:pPr>
      <w:ind w:left="720"/>
      <w:contextualSpacing/>
    </w:pPr>
  </w:style>
  <w:style w:type="character" w:styleId="Komentraatsauce">
    <w:name w:val="annotation reference"/>
    <w:basedOn w:val="Noklusjumarindkopasfonts"/>
    <w:uiPriority w:val="99"/>
    <w:semiHidden/>
    <w:unhideWhenUsed/>
    <w:rsid w:val="00B2124A"/>
    <w:rPr>
      <w:sz w:val="16"/>
      <w:szCs w:val="16"/>
    </w:rPr>
  </w:style>
  <w:style w:type="paragraph" w:styleId="Komentrateksts">
    <w:name w:val="annotation text"/>
    <w:basedOn w:val="Parasts"/>
    <w:link w:val="KomentratekstsRakstz"/>
    <w:uiPriority w:val="99"/>
    <w:unhideWhenUsed/>
    <w:rsid w:val="00B2124A"/>
    <w:rPr>
      <w:sz w:val="20"/>
    </w:rPr>
  </w:style>
  <w:style w:type="character" w:customStyle="1" w:styleId="KomentratekstsRakstz">
    <w:name w:val="Komentāra teksts Rakstz."/>
    <w:basedOn w:val="Noklusjumarindkopasfonts"/>
    <w:link w:val="Komentrateksts"/>
    <w:uiPriority w:val="99"/>
    <w:rsid w:val="00B2124A"/>
    <w:rPr>
      <w:sz w:val="20"/>
    </w:rPr>
  </w:style>
  <w:style w:type="paragraph" w:styleId="Komentratma">
    <w:name w:val="annotation subject"/>
    <w:basedOn w:val="Komentrateksts"/>
    <w:next w:val="Komentrateksts"/>
    <w:link w:val="KomentratmaRakstz"/>
    <w:uiPriority w:val="99"/>
    <w:semiHidden/>
    <w:unhideWhenUsed/>
    <w:rsid w:val="00B2124A"/>
    <w:rPr>
      <w:b/>
      <w:bCs/>
    </w:rPr>
  </w:style>
  <w:style w:type="character" w:customStyle="1" w:styleId="KomentratmaRakstz">
    <w:name w:val="Komentāra tēma Rakstz."/>
    <w:basedOn w:val="KomentratekstsRakstz"/>
    <w:link w:val="Komentratma"/>
    <w:uiPriority w:val="99"/>
    <w:semiHidden/>
    <w:rsid w:val="00B2124A"/>
    <w:rPr>
      <w:b/>
      <w:bCs/>
      <w:sz w:val="20"/>
    </w:rPr>
  </w:style>
  <w:style w:type="paragraph" w:styleId="Prskatjums">
    <w:name w:val="Revision"/>
    <w:hidden/>
    <w:uiPriority w:val="99"/>
    <w:semiHidden/>
    <w:rsid w:val="00A16584"/>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831196">
      <w:bodyDiv w:val="1"/>
      <w:marLeft w:val="0"/>
      <w:marRight w:val="0"/>
      <w:marTop w:val="0"/>
      <w:marBottom w:val="0"/>
      <w:divBdr>
        <w:top w:val="none" w:sz="0" w:space="0" w:color="auto"/>
        <w:left w:val="none" w:sz="0" w:space="0" w:color="auto"/>
        <w:bottom w:val="none" w:sz="0" w:space="0" w:color="auto"/>
        <w:right w:val="none" w:sz="0" w:space="0" w:color="auto"/>
      </w:divBdr>
    </w:div>
    <w:div w:id="1836728732">
      <w:bodyDiv w:val="1"/>
      <w:marLeft w:val="0"/>
      <w:marRight w:val="0"/>
      <w:marTop w:val="0"/>
      <w:marBottom w:val="0"/>
      <w:divBdr>
        <w:top w:val="none" w:sz="0" w:space="0" w:color="auto"/>
        <w:left w:val="none" w:sz="0" w:space="0" w:color="auto"/>
        <w:bottom w:val="none" w:sz="0" w:space="0" w:color="auto"/>
        <w:right w:val="none" w:sz="0" w:space="0" w:color="auto"/>
      </w:divBdr>
    </w:div>
    <w:div w:id="2030448824">
      <w:bodyDiv w:val="1"/>
      <w:marLeft w:val="0"/>
      <w:marRight w:val="0"/>
      <w:marTop w:val="0"/>
      <w:marBottom w:val="0"/>
      <w:divBdr>
        <w:top w:val="none" w:sz="0" w:space="0" w:color="auto"/>
        <w:left w:val="none" w:sz="0" w:space="0" w:color="auto"/>
        <w:bottom w:val="none" w:sz="0" w:space="0" w:color="auto"/>
        <w:right w:val="none" w:sz="0" w:space="0" w:color="auto"/>
      </w:divBdr>
    </w:div>
    <w:div w:id="2080247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6533</Words>
  <Characters>3725</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viedoklu_parskats_23-TA-1398.docx</vt:lpstr>
    </vt:vector>
  </TitlesOfParts>
  <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viedoklu_parskats_23-TA-1398.docx</dc:title>
  <dc:subject/>
  <dc:creator>Edgars Moisejs</dc:creator>
  <cp:keywords/>
  <dc:description/>
  <cp:lastModifiedBy>Edgars Moisejs</cp:lastModifiedBy>
  <cp:revision>6</cp:revision>
  <dcterms:created xsi:type="dcterms:W3CDTF">2023-11-06T11:19:00Z</dcterms:created>
  <dcterms:modified xsi:type="dcterms:W3CDTF">2023-11-14T11:52:00Z</dcterms:modified>
</cp:coreProperties>
</file>