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21-TA-1593: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2005. gada 30. augusta noteikumos Nr. 662 "Akcīzes preču aprites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69.1.4.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iepriekš pausto iebildumu. Ar minēto normu paredzēts, ka, pārvietojot tabakas izstrādājumus, kas marķēti ar akcīzes nodokļa markām, piegādes un attaisnojuma dokumentā papildus jānorāda akcīzes nodokļa markas sērija un intervāls.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tiesību akta anotācijā un izziņā norādītajam, augstāk minētie grozījumi būtībā ir nepieciešami, lai gadījumos, kad nodokļu maksātājs, iznīcinot preces, kas marķētas ar akcīzes nodokļu markām, nenoņem markas un prasa samaksātā akcīzes nodokļa atmaksu, Valsts ieņēmumu dienests varētu pārliecināties par iznīcināto akcīzes nodokļa marku intervālu un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VID publiskojamiem datiem uz 30.06.2022. Latvijā bija spēkā 1714 tabakas izstrādājumu mazumtirdzniecības licences, 25 tabakas izstrādājumu vairumtirdzniecības licences, 668 akcīzes preču noliktavas turētāja licences. Specifiski dati par to, cik no šīm akcīzes noliktavām darbojas ar tabakas izstrādājumiem, nav pieejami, tādēļ, ļoti aptuveni aplēšot, vairāk kā 2000 komersantu ikdienā nosūta vai pieņem tabakas izstrādājumus ar attiecīgiem pavaddokumentiem. Tādējādi, ar šiem grozījumiem lielam skaitam komersantu tiks uzlikts pienākums veikt uzskaites sistēmu programmēšanas darbus, ikdienas darbā papildu citai informācijai katrā preces pavaddokumentā pievienot ziņas par akcīzes preces intervālu un ievadīt attiecīgus datus uzskaites sistēmā (papildus tam, ka datus par preču pārvietošanu komersanti ievada arī jau eksistējošā tabakas izstrādājumu izsekojamības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risinājums nav samērīgs ar rezultātu un gūto labumu, proti, nav samērīgi radīt papildu slogu (gan izmaksu, gan administratīvā ziņā) lielam skaitam komersantu milzīga skaita ikdienas darījumos, lai atsevišķos gadījumos VID varētu gūt pārliecību, ka iznīcinātai precei bija attiecīgās akcīzes nodokļu markas. Valsts pārvaldei šajā situācijā būtu jārod efektīvāki un samērīgāki risinājumi, proti, jāmeklē iespējas izmantot jau šobrīd pieejamo tabakas izstrādājumu izsekošanas sistēmu un tajā esošos izsekošanas numurus jāsasaista ar akcīzes nodokļa markām sākotnējā etapā vai jānosūta pārstāvis, lai uzraudzītu tabakas izstrādājumu iznīcināšanu un pirms tās pārliecinātos par iznīcināmo preču akcīzes nodokļa marku intervālu un numuriem.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iepriekšminētā, LTRK ieskatā, normatīvā akta projekta izstrādē netiek ievēroti "nulles birokrātijas" pieeja, proti, administratīvā sloga palielinājums netiek pienācīgi novērtēts un izsvērts, kā arī tas netiek kompensēts ar citu administratīvo slogu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"Grozījumi Ministru kabineta 2005. gada 30. augusta noteikumos Nr. 662 "Akcīzes preču aprites kārtība"" (turpmāk – projekts)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1.3. apakšsadaļu ar skaidrojumu par projektā paredzēto grozījumu Ministru kabineta 2005. gada 30. augusta noteikumu Nr. 662 "Akcīzes preču aprites kārtība" (turpmāk – noteikumi) 113., 124. un 182.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papildināta ar 10. un 11.punktu.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- 01.06.2022.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Finanšu ministrijas izstrādāto noteikumu projektu “Grozījumi Ministru kabineta 2005. gada 30. augusta noteikumos Nr. 662 "Akcīzes preču aprites kārtība"” (turpmāk – Noteikumu projekts) (21-TA-1593).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kā Noteikumu projektu plānots papildināt ar 69.1.4. apakšpunktu (grozījumu 7.punkts). Ar minēto normu paredzēts, ka, pārvietojot tabakas izstrādājumus, kas marķēti ar akcīzes nodokļa markām, piegādes un attaisnojuma dokumentā, papildus jānorāda akcīzes nodokļa markas sērija un intervāls.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norādīto mērķi ir iespējams sasniegt ar jau šobrīd valsts pārvaldes rīcībā esošiem rīkiem un datiem, un šāda prasība uzliek uzņēmējiem lielā mērā lieku papildu administratīvo slogu. Proti, jau vairākus gadus ir izveidota un Latvijā darbojas tabakas izstrādājumu izsekojamības sistēma, kuru uztur valsts akciju sabiedrība "Latvijas Valsts radio un televīzijas centrs". Ar šīs sistēmas palīdzību ir nodrošināta iespēja izsekot vai attiecībā uz katru konkrēto tabakas izstrādājumu vienību ir ievērotas akcīzes preču aprites prasības, un tā ļauj pārliecināties par to, ka katras konkrētās tabakas izstrādājumu vienības atrašanās komercdarbības vietā ir legāla, kas definēts, kā šobrīd iniciēto grozījumu mērķis. Ievērojot, ka abu minēto sistēmu funkcijas lielākoties dublējas, uzlikt uzņēmējiem pienākumu ievadīt un aktualizēt datus par tabakas izstrādājumiem gan tabakas izstrādājumu izsekojamības sistēmā, gan uzskaites sistēmā (kas būtu nepieciešams, lai nodrošinātu informācijas norādīšanu pavaddokumentos), nav samērīgi.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1.3.sadaļas 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Iniciēto grozījumu mērķis ir nodrošināt akcīzes nodokļa marku, kuras atdotas Valsts ieņēmumu dienestam vai iznīcinātas kopā ar akcīzes precēm, par kurām samaksātais akcīzes nodoklis atmaksājams nodokļu maksātājiem, identificēšanu.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izstrādājumu izsekojamības sistēma ļauj pārliecināties, ka tabakas izstrādājumu aprite notiek starp legāliem komersantiem un notikusi secīgi, ar tās palīdzību nav iespējams pārliecināties par akcīzes nodokļa nomaksu par tabakas izstrādājumiem, to apliecina akcīzes nodokļa marka.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lai saņemtu samaksāto akcīzes nodokli par patēriņam nodotajiem tabakas izstrādājumiem, kuri marķēti ar akcīzes nodokļa markām, un kurus iznīcina,  nodokļa maksātājam Valsts ieņēmumu dienestā bija jāiesniedz no akcīzes precēm noņemtās akcīzes nodokļa markas. Ņemot vērā, ka ar 2022.gada 1.janvāri nodokļa maksātājs ir tiesīgs saņemt samaksāto akcīzes nodokli arī par patēriņam nodotajām akcīzes precēm, kuras marķētas ar akcīzes markām un kuras iznīcinātas kopā ar akcīzes nodokļa markām, akcīzes nodokļa markas Valsts ieņēmumu dienestam netiek iesniegtas. Līdz ar to tabakas izstrādājumiem akcīzes nodokļa marku identificēšana ir apgrūtināta. Pārskatos par marku apriti akcīzes preču noliktavas turētāji norāda informāciju par akcīzes nodokļa marku kustību akcīzes preču noliktavā. Pēc tam, kad ar akcīzes nodokļa markām marķētie tabakas izstrādājumi ir izvesti no akcīzes preču noliktavas, Valsts ieņēmumu dienestam vairs nav informācijas par marķēto tabakas izstrādājumu kustību. Tikai no piegādes dokumentiem ar tajos norādīto informāciju par akcīzes nodokļa marku sēriju un numuru Valsts ieņēmumu dienests var iegūt šo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Komersantiem, kuriem 2022. gada 1. janvārī ir spēkā esoša speciālā atļauja (licence) apstiprināta noliktavas turētāja darbībai ar elektroniskajās cigaretēs izmantojamo šķidrumu un elektroniskajās cigaretēs izmantojamā šķidruma sagatavošanas sastāvdaļām, Valsts ieņēmumu dienests aktualizē minētajā speciālajā atļaujā (licencē) norādīto preču veidu "elektroniskajās cigaretēs izmantojamais šķidrums un elektroniskajās cigaretēs izmantojamā šķidruma sagatavošanas sastāvdaļas" aizstājot to ar preču veidu "elektroniskajās smēķēšanas ierīcēs izmantojamais šķidrums un elektroniskajās smēķēšanas ierīcēs izmantojamā šķidruma sagatavošanas sastāvdaļas".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Oficiālo publikāciju un tiesiskās informācijas likuma 9. panta ceturtā daļa noteic, ka </w:t>
            </w:r>
            <w:r w:rsidR="00000000" w:rsidRPr="00000000" w:rsidDel="00000000">
              <w:rPr>
                <w:u w:val="single"/>
                <w:rtl w:val="0"/>
              </w:rPr>
              <w:t xml:space="preserve">normatīvajam aktam vai tā daļai nav atpakaļejoša spēka, izņemot likumā īpaši paredzētus gadījumus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projektā paredzētajā noteikumu 217. punktā ir ietverts regulējums ar atpakaļejošu spēku. Ievērojot minēto, lūdzam izvērtēt projektā paredzētajā noteikumu 217. punktā ietverto regulējumu un precizēt to vai papildināt anotācijas 1.3. apakšsadaļu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217.punkta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Komersantiem, kuriem 2022. gada 1. janvārī bija spēkā esoša speciālā atļauja (licence) apstiprināta noliktavas turētāja darbībai ar elektroniskajās cigaretēs izmantojamo šķidrumu un elektroniskajās cigaretēs izmantojamā šķidruma sagatavošanas sastāvdaļām, Valsts ieņēmumu dienests aktualizē minētajā speciālajā atļaujā (licencē) norādīto preču veidu "elektroniskajās cigaretēs izmantojamais šķidrums un elektroniskajās cigaretēs izmantojamā šķidruma sagatavošanas sastāvdaļas" aizstājot to ar preču veidu "elektroniskajās smēķēšanas ierīcēs izmantojamais šķidrums un elektroniskajās smēķēšanas ierīcēs izmantojamā šķidruma sagatavošanas sastāvdaļas".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Standartizācijas likuma 13. panta pirmā un trešā daļa noteic, ka </w:t>
            </w:r>
            <w:r w:rsidR="00000000" w:rsidRPr="00000000" w:rsidDel="00000000">
              <w:rPr>
                <w:u w:val="single"/>
                <w:rtl w:val="0"/>
              </w:rPr>
              <w:t xml:space="preserve">standartu piemērošana ir brīvprātīga, un normatīvajos aktos var izdarīt netiešas atsauces uz standartiem, kuri normatīvajos aktos nav paredzēti kā obligāti piemērojami standarti, bet kurus var piemērot, lai izpildītu normatīvajā aktā noteiktās obligātās prasības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Standartizācijas likuma 13. panta otrā daļa un 14. panta otrā un trešā daļa noteic, ka </w:t>
            </w:r>
            <w:r w:rsidR="00000000" w:rsidRPr="00000000" w:rsidDel="00000000">
              <w:rPr>
                <w:u w:val="single"/>
                <w:rtl w:val="0"/>
              </w:rPr>
              <w:t xml:space="preserve">Ministru kabinets var noteikt obligāti piemērojamus Latvijas nacionālos standartus, obligāti piemērojamiem Latvijas nacionālajiem standartiem ir jābūt tulkotiem valsts valodā, kā arī ar šā panta otrajā daļā minēto standartu tulkošanu valsts valodā saistītās izmaksas sedz no attiecīgās nozares ministrijas budžeta līdzekļiem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projektā paredzētajā 17., 18., 20., 22., 24., 25., 26., 28., 29., 30., 31., 34., 35., 36. un 37. pielikumā ir ietverta atsauce uz standartu LVS EN ISO 3166-1:2020, kas nav tulkots latviešu valodā, lūdzam precizēt projektā paredzētajā 17., 18., 20., 22., 24., 25., 26., 28., 29., 30., 31., 34., 35., 36. un 37. pielikumā noteikto vai papildināt anotācijas 1.3. apakšsadaļu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Nr.662  16., 17., 18., 20., 22., 24., 25., 26., 28., 29., 30., 31., 34., 35., 36.,  un 37. pielikumā minētās tiešās atsauces aizstātas ar netiešajām atsaucēm uz standartiem (piemērojamie standarti), kā arī Ministru kabineta noteikumi Nr.662 papildināti ar 218.punktu.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ietverto informāciju, norādot konkrētas normatīvo aktu un projekta tiesību normas, kurās paredzēts attiecīgais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ietvertā informācija papildināta ar konkrētām normatīvo aktu tiesību normām, kurās paredzēts attiecīgais regulējums.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r w:rsidR="00000000" w:rsidRPr="00000000" w:rsidDel="00000000">
              <w:rPr>
                <w:vertAlign w:val="superscript"/>
                <w:rtl w:val="0"/>
              </w:rPr>
              <w:t xml:space="preserve">1</w:t>
            </w:r>
            <w:r w:rsidR="00000000" w:rsidRPr="00000000" w:rsidDel="00000000">
              <w:rPr>
                <w:rtl w:val="0"/>
              </w:rPr>
              <w:t xml:space="preserve"> Komersants, kuram ir speciāla atļauja (licence) degvielas mazumtirdzniecībai, un kuram ir Padziļinātās sadarbības programmas dalībnieka statuss, ir tiesīgs no Padziļinātās sadarbības programmas dalībnieka  apstiprināta noliktavas turētāja,  reģistrēta saņēmēja un degvielas vairumtirgotāja, saņemt degvielu speciālajā atļaujā (licencē) degvielas mazumtirdzniecībai deklarētajā darbības vietā ārpus speciālajā atļaujā (licencē) degvielas mazumtirdzniecībai deklarētā darba laika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3.7. apakšnodaļā ir noteiktas prasības, kā Ministru kabineta noteikumu projektos raksta atsauces uz citiem tāda paša vai augstāka juridiska spēka normatīvajiem aktiem. Ievērojot minēto, kā arī to, ka Padziļinātās sadarbības programmas dalībnieka regulējums ir ietverts likumā "Par nodokļiem un nodevām" un Ministru kabineta 2018. gada 27. novembra noteikumos Nr. 748 "Padziļinātās sadarbības programmas darbības noteikumi", lūdzam precizēt projektā paredzētajā noteikumu 113.</w:t>
            </w:r>
            <w:r w:rsidR="00000000" w:rsidRPr="00000000" w:rsidDel="00000000">
              <w:rPr>
                <w:vertAlign w:val="superscript"/>
                <w:rtl w:val="0"/>
              </w:rPr>
              <w:t xml:space="preserve">1</w:t>
            </w:r>
            <w:r w:rsidR="00000000" w:rsidRPr="00000000" w:rsidDel="00000000">
              <w:rPr>
                <w:rtl w:val="0"/>
              </w:rPr>
              <w:t xml:space="preserve"> punktā ietverto atsauci uz Padziļinātās sadarbības programmas dalībnieku.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r w:rsidR="00000000" w:rsidRPr="00000000" w:rsidDel="00000000">
              <w:rPr>
                <w:vertAlign w:val="superscript"/>
                <w:rtl w:val="0"/>
              </w:rPr>
              <w:t xml:space="preserve">1</w:t>
            </w:r>
            <w:r w:rsidR="00000000" w:rsidRPr="00000000" w:rsidDel="00000000">
              <w:rPr>
                <w:rtl w:val="0"/>
              </w:rPr>
              <w:t xml:space="preserve"> Komersants, kuram ir speciāla atļauja (licence) degvielas mazumtirdzniecībai, un kuram ir likuma “Par nodokļiem un nodevām” 7.</w:t>
            </w:r>
            <w:r w:rsidR="00000000" w:rsidRPr="00000000" w:rsidDel="00000000">
              <w:rPr>
                <w:vertAlign w:val="superscript"/>
                <w:rtl w:val="0"/>
              </w:rPr>
              <w:t xml:space="preserve">1</w:t>
            </w:r>
            <w:r w:rsidR="00000000" w:rsidRPr="00000000" w:rsidDel="00000000">
              <w:rPr>
                <w:rtl w:val="0"/>
              </w:rPr>
              <w:t xml:space="preserve"> pantā noteiktās Padziļinātās sadarbības programmas dalībnieka statuss, ir tiesīgs no Padziļinātās sadarbības programmas dalībnieka  apstiprināta noliktavas turētāja,  reģistrēta saņēmēja un degvielas vairumtirgotāja, saņemt degvielu speciālajā atļaujā (licencē) degvielas mazumtirdzniecībai deklarētajā darbības vietā ārpus speciālajā atļaujā (licencē) degvielas mazumtirdzniecībai deklarētā darba laika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21-TA-1593</w:t>
    </w:r>
    <w:r>
      <w:br/>
    </w:r>
    <w:r w:rsidR="00000000" w:rsidRPr="00000000" w:rsidDel="00000000">
      <w:rPr>
        <w:rtl w:val="0"/>
      </w:rPr>
      <w:t xml:space="preserve">12.08.2022. 14.12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21-TA-1593</w:t>
    </w:r>
    <w:r>
      <w:br/>
    </w:r>
    <w:r w:rsidR="00000000" w:rsidRPr="00000000" w:rsidDel="00000000">
      <w:rPr>
        <w:rtl w:val="0"/>
      </w:rPr>
      <w:t xml:space="preserve">12.08.2022. 14.12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Izziņa_21-TA-1593.docx</dc:title>
</cp:coreProperties>
</file>

<file path=docProps/custom.xml><?xml version="1.0" encoding="utf-8"?>
<Properties xmlns="http://schemas.openxmlformats.org/officeDocument/2006/custom-properties" xmlns:vt="http://schemas.openxmlformats.org/officeDocument/2006/docPropsVTypes"/>
</file>