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7E9E9" w14:textId="77777777" w:rsidR="00146AD9" w:rsidRDefault="00146AD9" w:rsidP="00146AD9">
      <w:pPr>
        <w:ind w:firstLine="567"/>
        <w:jc w:val="both"/>
        <w:rPr>
          <w:rFonts w:ascii="Calibri Light" w:hAnsi="Calibri Light" w:cs="Calibri Light"/>
        </w:rPr>
      </w:pPr>
      <w:r>
        <w:rPr>
          <w:rFonts w:ascii="Calibri Light" w:hAnsi="Calibri Light" w:cs="Calibri Light"/>
        </w:rPr>
        <w:t>Labdien,</w:t>
      </w:r>
    </w:p>
    <w:p w14:paraId="0AA56DAF" w14:textId="77777777" w:rsidR="00146AD9" w:rsidRDefault="00146AD9" w:rsidP="00146AD9">
      <w:pPr>
        <w:ind w:firstLine="567"/>
        <w:jc w:val="both"/>
        <w:rPr>
          <w:rFonts w:ascii="Calibri Light" w:hAnsi="Calibri Light" w:cs="Calibri Light"/>
        </w:rPr>
      </w:pPr>
      <w:r>
        <w:rPr>
          <w:rFonts w:ascii="Calibri Light" w:hAnsi="Calibri Light" w:cs="Calibri Light"/>
        </w:rPr>
        <w:t xml:space="preserve">Finanšu ministrija savas kompetences ietvaros ir izskatījusi Ekonomikas ministrijas precizēto likumprojektu "Grozījumi Enerģētikas likumā" (turpmāk – Likumprojekts), tā sākotnējas ietekmes novērtējuma ziņojumu (anotāciju) un izsaka šādus iebildumus. </w:t>
      </w:r>
    </w:p>
    <w:p w14:paraId="076D847B" w14:textId="77777777" w:rsidR="00146AD9" w:rsidRDefault="00146AD9" w:rsidP="00146AD9">
      <w:pPr>
        <w:pStyle w:val="ListParagraph"/>
        <w:numPr>
          <w:ilvl w:val="0"/>
          <w:numId w:val="1"/>
        </w:numPr>
        <w:ind w:left="0" w:firstLine="567"/>
        <w:contextualSpacing/>
        <w:jc w:val="both"/>
        <w:rPr>
          <w:rFonts w:ascii="Calibri Light" w:hAnsi="Calibri Light" w:cs="Calibri Light"/>
        </w:rPr>
      </w:pPr>
      <w:r>
        <w:rPr>
          <w:rFonts w:ascii="Calibri Light" w:hAnsi="Calibri Light" w:cs="Calibri Light"/>
        </w:rPr>
        <w:t xml:space="preserve">Lūdzam precizēt Likumprojekta 1.pantu, kas paredz Enerģētikas likuma  1.panta 1) punktā sniegt atbalsta shēmas definīciju, jo šobrīd nav skaidrs, kas  būs “cita veida atbalsts”, kas nebūs ne valsts atbalsts, ne komercdarbības atbalsts. Vienlaikus attiecīgi lūdzam precizēt arī anotācijā minēto: “Vienlaikus AER un energoefektivitātes fonda ietvaros finansējumu varēs piešķirt ne tikai veidojot atbalsta programmas, bet arī citā veidā“, minot konkrētus piemērus, kādā veidā finansējumu AER un energoefektivitātes fonda ietvaros varēs piešķirt. </w:t>
      </w:r>
    </w:p>
    <w:p w14:paraId="0F80151D" w14:textId="77777777" w:rsidR="00146AD9" w:rsidRDefault="00146AD9" w:rsidP="00146AD9">
      <w:pPr>
        <w:pStyle w:val="ListParagraph"/>
        <w:numPr>
          <w:ilvl w:val="0"/>
          <w:numId w:val="1"/>
        </w:numPr>
        <w:ind w:left="0" w:firstLine="567"/>
        <w:contextualSpacing/>
        <w:jc w:val="both"/>
        <w:rPr>
          <w:rFonts w:ascii="Calibri Light" w:hAnsi="Calibri Light" w:cs="Calibri Light"/>
        </w:rPr>
      </w:pPr>
      <w:r>
        <w:rPr>
          <w:rFonts w:ascii="Calibri Light" w:hAnsi="Calibri Light" w:cs="Calibri Light"/>
        </w:rPr>
        <w:t xml:space="preserve">Lūdzam pārskatīt Likumprojektā lietotos terminus “valsts atbalsts”, “komercatbalsts” un “komercdarbības atbalsts”, normu vienotai terminoloģijai attiecībā uz komercdarbības atbalstu, proti, lūdzam lietot vienu atbilstošāko terminu apzīmējot komercdarbības atbalstu, kā arī anotācijā sniegt skaidrojumu par Likumprojektā lietoto terminu atšķirībām, lai Enerģētikas likuma lietotājam ir skaidrs, kad iet runa par atbalstu, kas kvalificējas kā komercdarbības atbalsts, un kad tiek runāts par atbalstu, kas nekvalificējas kā komercdarbības atbalsts. Vienlaikus lūdzam precizēt arī terminus anotācijā. </w:t>
      </w:r>
    </w:p>
    <w:p w14:paraId="3FB6B661" w14:textId="77777777" w:rsidR="00146AD9" w:rsidRDefault="00146AD9" w:rsidP="00146AD9">
      <w:pPr>
        <w:pStyle w:val="ListParagraph"/>
        <w:numPr>
          <w:ilvl w:val="0"/>
          <w:numId w:val="1"/>
        </w:numPr>
        <w:ind w:left="0" w:firstLine="567"/>
        <w:contextualSpacing/>
        <w:jc w:val="both"/>
        <w:rPr>
          <w:rFonts w:ascii="Calibri Light" w:hAnsi="Calibri Light" w:cs="Calibri Light"/>
        </w:rPr>
      </w:pPr>
      <w:r>
        <w:rPr>
          <w:rFonts w:ascii="Calibri Light" w:hAnsi="Calibri Light" w:cs="Calibri Light"/>
        </w:rPr>
        <w:t>Lūdzam Likumprojekta 1.pantā ietvertā Enerģētikas likuma 1.panta 1.punkta 1</w:t>
      </w:r>
      <w:r>
        <w:rPr>
          <w:rFonts w:ascii="Calibri Light" w:hAnsi="Calibri Light" w:cs="Calibri Light"/>
          <w:vertAlign w:val="superscript"/>
        </w:rPr>
        <w:t>3</w:t>
      </w:r>
      <w:r>
        <w:rPr>
          <w:rFonts w:ascii="Calibri Light" w:hAnsi="Calibri Light" w:cs="Calibri Light"/>
        </w:rPr>
        <w:t xml:space="preserve">) apakšpunktā ietvertā termina “atjaunojamie energoresursi” definējumā vārdus “no atjaunojamiem energoresursiem iegūts ūdeņradis, sintētiskais metāns” aizstāt ar vārdiem “no atjaunojamiem energoresursiem ķīmiskās sintēzes procesā iegūta degviela (ūdeņradis, metāns vai cita)”. </w:t>
      </w:r>
    </w:p>
    <w:p w14:paraId="5F7F6D98" w14:textId="77777777" w:rsidR="00146AD9" w:rsidRDefault="00146AD9" w:rsidP="00146AD9">
      <w:pPr>
        <w:pStyle w:val="ListParagraph"/>
        <w:numPr>
          <w:ilvl w:val="0"/>
          <w:numId w:val="1"/>
        </w:numPr>
        <w:ind w:left="0" w:firstLine="567"/>
        <w:contextualSpacing/>
        <w:rPr>
          <w:rFonts w:ascii="Calibri Light" w:hAnsi="Calibri Light" w:cs="Calibri Light"/>
          <w:lang w:eastAsia="lv-LV"/>
        </w:rPr>
      </w:pPr>
      <w:r>
        <w:rPr>
          <w:rFonts w:ascii="Calibri Light" w:hAnsi="Calibri Light" w:cs="Calibri Light"/>
        </w:rPr>
        <w:t xml:space="preserve">Atkārtoti lūdzam precizēt Likumprojekta 1.pantā ietvertā Enerģētikas likuma 1.panta </w:t>
      </w:r>
      <w:r>
        <w:rPr>
          <w:rFonts w:ascii="Calibri Light" w:hAnsi="Calibri Light" w:cs="Calibri Light"/>
          <w:lang w:eastAsia="lv-LV"/>
        </w:rPr>
        <w:t>4</w:t>
      </w:r>
      <w:r>
        <w:rPr>
          <w:rFonts w:ascii="Calibri Light" w:hAnsi="Calibri Light" w:cs="Calibri Light"/>
          <w:vertAlign w:val="superscript"/>
          <w:lang w:eastAsia="lv-LV"/>
        </w:rPr>
        <w:t>6</w:t>
      </w:r>
      <w:r>
        <w:rPr>
          <w:rFonts w:ascii="Calibri Light" w:hAnsi="Calibri Light" w:cs="Calibri Light"/>
          <w:lang w:eastAsia="lv-LV"/>
        </w:rPr>
        <w:t xml:space="preserve">) punktā </w:t>
      </w:r>
      <w:r>
        <w:rPr>
          <w:rFonts w:ascii="Calibri Light" w:hAnsi="Calibri Light" w:cs="Calibri Light"/>
        </w:rPr>
        <w:t>terminu “</w:t>
      </w:r>
      <w:r>
        <w:rPr>
          <w:rFonts w:ascii="Calibri Light" w:hAnsi="Calibri Light" w:cs="Calibri Light"/>
          <w:lang w:eastAsia="lv-LV"/>
        </w:rPr>
        <w:t>centralizētā siltumapgādes sistēma</w:t>
      </w:r>
      <w:r>
        <w:rPr>
          <w:rFonts w:ascii="Calibri Light" w:hAnsi="Calibri Light" w:cs="Calibri Light"/>
        </w:rPr>
        <w:t>”, jo:</w:t>
      </w:r>
    </w:p>
    <w:p w14:paraId="369C4F90" w14:textId="77777777" w:rsidR="00146AD9" w:rsidRDefault="00146AD9" w:rsidP="00146AD9">
      <w:pPr>
        <w:pStyle w:val="ListParagraph"/>
        <w:numPr>
          <w:ilvl w:val="1"/>
          <w:numId w:val="1"/>
        </w:numPr>
        <w:ind w:left="0" w:firstLine="567"/>
        <w:contextualSpacing/>
        <w:rPr>
          <w:rFonts w:ascii="Calibri Light" w:hAnsi="Calibri Light" w:cs="Calibri Light"/>
          <w:lang w:eastAsia="lv-LV"/>
        </w:rPr>
      </w:pPr>
      <w:r>
        <w:rPr>
          <w:rFonts w:ascii="Calibri Light" w:hAnsi="Calibri Light" w:cs="Calibri Light"/>
        </w:rPr>
        <w:t>a</w:t>
      </w:r>
      <w:r>
        <w:rPr>
          <w:rFonts w:ascii="Calibri Light" w:hAnsi="Calibri Light" w:cs="Calibri Light"/>
          <w:lang w:eastAsia="lv-LV"/>
        </w:rPr>
        <w:t>tbilstoši Eiropas Parlamenta un Padomes 2018. gada 11. decembra Direktīvai (ES) 2018/2001 par no atjaunojamajiem energoresursiem iegūtas enerģijas izmantošanas veicināšanu (turpmāk - direktīva 2018/2001) 2.panta 19. punktam “siltumenerģijas saņēmēju (lietotāju) kopums” nav siltumapgādes elements;</w:t>
      </w:r>
    </w:p>
    <w:p w14:paraId="25A51E02" w14:textId="77777777" w:rsidR="00146AD9" w:rsidRDefault="00146AD9" w:rsidP="00146AD9">
      <w:pPr>
        <w:pStyle w:val="ListParagraph"/>
        <w:numPr>
          <w:ilvl w:val="1"/>
          <w:numId w:val="1"/>
        </w:numPr>
        <w:ind w:left="0" w:firstLine="567"/>
        <w:contextualSpacing/>
        <w:rPr>
          <w:rFonts w:ascii="Calibri Light" w:hAnsi="Calibri Light" w:cs="Calibri Light"/>
        </w:rPr>
      </w:pPr>
      <w:r>
        <w:rPr>
          <w:rFonts w:ascii="Calibri Light" w:hAnsi="Calibri Light" w:cs="Calibri Light"/>
          <w:lang w:eastAsia="lv-LV"/>
        </w:rPr>
        <w:t xml:space="preserve">Centralizētas siltumenerģijas saņēmēji ir gan juridiski, gan saimnieciski nodalīti no siltumavotu, pārvades un sadales siltumtīklu turētājiem; </w:t>
      </w:r>
    </w:p>
    <w:p w14:paraId="4A7CEC45" w14:textId="77777777" w:rsidR="00146AD9" w:rsidRDefault="00146AD9" w:rsidP="00146AD9">
      <w:pPr>
        <w:pStyle w:val="ListParagraph"/>
        <w:numPr>
          <w:ilvl w:val="1"/>
          <w:numId w:val="1"/>
        </w:numPr>
        <w:ind w:left="0" w:firstLine="567"/>
        <w:contextualSpacing/>
        <w:rPr>
          <w:rFonts w:ascii="Calibri Light" w:hAnsi="Calibri Light" w:cs="Calibri Light"/>
        </w:rPr>
      </w:pPr>
      <w:r>
        <w:rPr>
          <w:rFonts w:ascii="Calibri Light" w:hAnsi="Calibri Light" w:cs="Calibri Light"/>
        </w:rPr>
        <w:t>Termina definējums ir pretrunā ar likuma 52.pantu un 118. panta ceturto daļu;</w:t>
      </w:r>
    </w:p>
    <w:p w14:paraId="35810017" w14:textId="77777777" w:rsidR="00146AD9" w:rsidRDefault="00146AD9" w:rsidP="00146AD9">
      <w:pPr>
        <w:pStyle w:val="ListParagraph"/>
        <w:numPr>
          <w:ilvl w:val="1"/>
          <w:numId w:val="1"/>
        </w:numPr>
        <w:ind w:left="0" w:firstLine="567"/>
        <w:contextualSpacing/>
        <w:rPr>
          <w:rFonts w:ascii="Calibri Light" w:hAnsi="Calibri Light" w:cs="Calibri Light"/>
        </w:rPr>
      </w:pPr>
      <w:r>
        <w:rPr>
          <w:rFonts w:ascii="Calibri Light" w:hAnsi="Calibri Light" w:cs="Calibri Light"/>
        </w:rPr>
        <w:t xml:space="preserve">Tehniski ēkas apkurei nepieciešamo siltumenerģiju var nodrošināt ne tikai no centralizētas siltumapgādes sistēmas, bet arī no ēkā izbūvēta siltuma avota (siltuma ģeneratora). </w:t>
      </w:r>
    </w:p>
    <w:p w14:paraId="30ED30D9" w14:textId="77777777" w:rsidR="00146AD9" w:rsidRDefault="00146AD9" w:rsidP="00146AD9">
      <w:pPr>
        <w:pStyle w:val="ListParagraph"/>
        <w:numPr>
          <w:ilvl w:val="0"/>
          <w:numId w:val="1"/>
        </w:numPr>
        <w:ind w:left="0" w:firstLine="567"/>
        <w:contextualSpacing/>
        <w:jc w:val="both"/>
        <w:rPr>
          <w:rFonts w:ascii="Calibri Light" w:hAnsi="Calibri Light" w:cs="Calibri Light"/>
        </w:rPr>
      </w:pPr>
      <w:r>
        <w:rPr>
          <w:rFonts w:ascii="Calibri Light" w:hAnsi="Calibri Light" w:cs="Calibri Light"/>
        </w:rPr>
        <w:t xml:space="preserve">Ar Likumprojekta 1. pantu Enerģētikas likuma 1.panta 12. punkts tiek izteikts jaunā redakcijā, dzēšot vārdus "no energoapgādes komersantiem pērk". Elektroenerģijas pirkšana ir būtiska pazīme, kas atšķir enerģijas lietotāju no ražotāja, jo enerģijas lietotājs nevar iegūt elektroenerģiju citā veidā kā to nopērkot, turpretim, lietotājs, kas elektroenerģiju ražo, ir elektroenerģijas ražotājs. Elektroenerģijas ražotājiem ir vairāki normatīvajos aktos noteikti pienākumi. Minētajā punktā neparedzot veidu, kā enerģijas lietotājs iegūst elektroenerģiju, mūsu ieskatā, tas var radīt priekštatu, ka enerģijas lietotājam nav nepieciešams ievērot normatīvajos aktos noteikto pieslēgumu ierīkošanas procedūru, kādu nepieciešams ievērot elektroenerģijas ražotājiem. Attiecīgi lūdzam precizēt šo definīciju, lai novērstu iespējamos pārpratumus, norādot enerģijas iegūšanas veidu lietotājam to iepērkot vai ražojot paša vajadzībām. Vienlaicīgi, pamatojoties uz iepriekš minētajiem argumentiem, lūdzam precizēt arī Enerģētikas likuma 1.panta 29. punktu saskaņā ar kuru mājsaimniecības lietotājs pērk vai izlieto enerģiju. Saikļa "un" aizstāšana ar saikli "vai" nav korekta, jo enerģiju nevar nopirkt un neizlietot, kā arī nevar izlietot, ja tā nav saražota vai nopirkta. </w:t>
      </w:r>
      <w:r>
        <w:rPr>
          <w:rFonts w:ascii="Calibri Light" w:hAnsi="Calibri Light" w:cs="Calibri Light"/>
          <w:color w:val="FF0000"/>
        </w:rPr>
        <w:t>AST</w:t>
      </w:r>
    </w:p>
    <w:p w14:paraId="1677BB0B" w14:textId="77777777" w:rsidR="00146AD9" w:rsidRDefault="00146AD9" w:rsidP="00146AD9">
      <w:pPr>
        <w:pStyle w:val="ListParagraph"/>
        <w:numPr>
          <w:ilvl w:val="0"/>
          <w:numId w:val="1"/>
        </w:numPr>
        <w:ind w:left="0" w:firstLine="567"/>
        <w:contextualSpacing/>
        <w:jc w:val="both"/>
        <w:rPr>
          <w:rFonts w:ascii="Calibri Light" w:hAnsi="Calibri Light" w:cs="Calibri Light"/>
        </w:rPr>
      </w:pPr>
      <w:r>
        <w:rPr>
          <w:rFonts w:ascii="Calibri Light" w:hAnsi="Calibri Light" w:cs="Calibri Light"/>
        </w:rPr>
        <w:t>Likumprojekta 1.pantā ietvertā Enerģētikas likuma 1.panta 24.</w:t>
      </w:r>
      <w:r>
        <w:rPr>
          <w:rFonts w:ascii="Calibri Light" w:hAnsi="Calibri Light" w:cs="Calibri Light"/>
          <w:vertAlign w:val="superscript"/>
        </w:rPr>
        <w:t>1)</w:t>
      </w:r>
      <w:r>
        <w:rPr>
          <w:rFonts w:ascii="Calibri Light" w:hAnsi="Calibri Light" w:cs="Calibri Light"/>
        </w:rPr>
        <w:t xml:space="preserve"> punkta “a” apakšpunkta redakcijas ievaddaļā paredzēts, ka kurināmā piegādātājs ir komersants, kuram likumā “Par akcīzes nodokli” noteiktajos gadījumos ir pienākums maksāt akcīzes nodokli par kurināmo, bet uzskaitījumā (tai skaitā) norādīts mazumtirgotājs, kas realizē no kurināmā vairumtirgotāja saņemto kurināmo un kurināmā vairumtirgotājs, kas realizē kurināmo un kuram ir speciālā atļauja (licence) kurināmā vairumtirdzniecībai. </w:t>
      </w:r>
    </w:p>
    <w:p w14:paraId="0A4F500B" w14:textId="77777777" w:rsidR="00146AD9" w:rsidRDefault="00146AD9" w:rsidP="00146AD9">
      <w:pPr>
        <w:ind w:firstLine="567"/>
        <w:jc w:val="both"/>
        <w:rPr>
          <w:rFonts w:ascii="Calibri Light" w:hAnsi="Calibri Light" w:cs="Calibri Light"/>
        </w:rPr>
      </w:pPr>
      <w:r>
        <w:rPr>
          <w:rFonts w:ascii="Calibri Light" w:hAnsi="Calibri Light" w:cs="Calibri Light"/>
        </w:rPr>
        <w:t xml:space="preserve">Paskaidrojam, ka komersanti, kas saņēmuši speciālo atļauju (licenci) mazumtirdzniecībai un speciālo atļauju (licenci) vairumtirdzniecībai akcīzes nodokli maksā tikai tad, ja realizē paša importēto </w:t>
      </w:r>
      <w:r>
        <w:rPr>
          <w:rFonts w:ascii="Calibri Light" w:hAnsi="Calibri Light" w:cs="Calibri Light"/>
        </w:rPr>
        <w:lastRenderedPageBreak/>
        <w:t>vai no Eiropas Savienības dalībvalsts ievesto kurināmo, un tikai komersants, kas ir saņēmis speciālo atļauju (licenci) apstiprināta noliktavas turētāja darbībai, drīkst realizēt akcīzes preces, tām piemērojot atlikto akcīzes nodokļa maksāšanu. Reģistrētam saņēmējam ir tiesības saņemt akcīzes preces, tām piemērojot atlikto akcīzes nodokļa maksāšanu, bet nav tiesību realizēt akcīzes preces, tām piemērojot atlikto akcīzes nodokļa maksāšanu.</w:t>
      </w:r>
    </w:p>
    <w:p w14:paraId="1FBE6E92" w14:textId="77777777" w:rsidR="00146AD9" w:rsidRDefault="00146AD9" w:rsidP="00146AD9">
      <w:pPr>
        <w:ind w:firstLine="567"/>
        <w:jc w:val="both"/>
        <w:rPr>
          <w:rFonts w:ascii="Calibri Light" w:hAnsi="Calibri Light" w:cs="Calibri Light"/>
        </w:rPr>
      </w:pPr>
      <w:r>
        <w:rPr>
          <w:rFonts w:ascii="Calibri Light" w:hAnsi="Calibri Light" w:cs="Calibri Light"/>
        </w:rPr>
        <w:t xml:space="preserve">Līdz ar to teksts iekavās “izņemot realizāciju atliktā akcīzes nodokļa maksāšanas režīmā” nevar attiekties uz komersantu, kas ir saņēmis speciālo atļauju (licenci) reģistrēta saņēmēja darbībai. </w:t>
      </w:r>
    </w:p>
    <w:p w14:paraId="67A48FD5" w14:textId="77777777" w:rsidR="00146AD9" w:rsidRDefault="00146AD9" w:rsidP="00146AD9">
      <w:pPr>
        <w:ind w:firstLine="567"/>
        <w:jc w:val="both"/>
        <w:rPr>
          <w:rFonts w:ascii="Calibri Light" w:hAnsi="Calibri Light" w:cs="Calibri Light"/>
        </w:rPr>
      </w:pPr>
      <w:r>
        <w:rPr>
          <w:rFonts w:ascii="Calibri Light" w:hAnsi="Calibri Light" w:cs="Calibri Light"/>
        </w:rPr>
        <w:t>Ņemot vērā minēto, lūdzam tiesiskai skaidrībai atbilstoši precizēt Likumprojekta 1.pantā ietvertā 24.</w:t>
      </w:r>
      <w:r>
        <w:rPr>
          <w:rFonts w:ascii="Calibri Light" w:hAnsi="Calibri Light" w:cs="Calibri Light"/>
          <w:vertAlign w:val="superscript"/>
        </w:rPr>
        <w:t>1</w:t>
      </w:r>
      <w:r>
        <w:rPr>
          <w:rFonts w:ascii="Calibri Light" w:hAnsi="Calibri Light" w:cs="Calibri Light"/>
        </w:rPr>
        <w:t xml:space="preserve"> punkta “a” apakšpunktu vai sniegt tā skaidrojumu Likumprojekta anotācijā. </w:t>
      </w:r>
    </w:p>
    <w:p w14:paraId="2F2ED272" w14:textId="77777777" w:rsidR="00146AD9" w:rsidRDefault="00146AD9" w:rsidP="00146AD9">
      <w:pPr>
        <w:pStyle w:val="ListParagraph"/>
        <w:numPr>
          <w:ilvl w:val="0"/>
          <w:numId w:val="1"/>
        </w:numPr>
        <w:ind w:left="0" w:firstLine="567"/>
        <w:contextualSpacing/>
        <w:jc w:val="both"/>
        <w:rPr>
          <w:rFonts w:ascii="Calibri Light" w:hAnsi="Calibri Light" w:cs="Calibri Light"/>
          <w:u w:val="single"/>
        </w:rPr>
      </w:pPr>
      <w:r>
        <w:rPr>
          <w:rFonts w:ascii="Calibri Light" w:hAnsi="Calibri Light" w:cs="Calibri Light"/>
        </w:rPr>
        <w:t xml:space="preserve">Likumprojekta 2.pants, kas izsaka Enerģētikas likuma 2.pantu jaunā redakcijā, paredz, ka šī likuma normas, kas attiecas uz dabasgāzi, nediskriminējošā veidā tiek attiecinātas arī uz biometānu, ūdeņradi un citu veidu gāzi, ciktāl attiecīgā veida gāzi var tehniski un droši ievadīt un transportēt Latvijas dabasgāzes pārvades sistēmā, sadales sistēmā vai uzglabāt dabasgāzes krātuvēs. Kā jau š.g. 21.aprīļa atzinumā esam norādījuši, ka tehniski transportēt ūdeņradi izmantojot esošo dabasgāzes pārvades sistēmu nav pieļaujami ņemot vērā to atšķirīgas ķīmiski fizikālās īpašības un atšķirīgos sadegšanas siltumspējas rādītājus. Līdz ar to uzskatām, ka pašlaik izziņas 83 lpp. sniegto Ekonomikas ministrijas pamatojumu nepieciešams ietvert anotācijā, lai būtu skaidri atrunāts, ka tuvākajā laikā nav plānots ievadīt ūdeņradi dabasgāzes tīklā un ja to darīs, to veiks drošā veidā atbilstoši noteiktiem standartiem. </w:t>
      </w:r>
    </w:p>
    <w:p w14:paraId="324C20C1" w14:textId="77777777" w:rsidR="00146AD9" w:rsidRDefault="00146AD9" w:rsidP="00146AD9">
      <w:pPr>
        <w:pStyle w:val="ListParagraph"/>
        <w:numPr>
          <w:ilvl w:val="0"/>
          <w:numId w:val="1"/>
        </w:numPr>
        <w:ind w:left="0" w:firstLine="567"/>
        <w:contextualSpacing/>
        <w:jc w:val="both"/>
        <w:rPr>
          <w:rFonts w:ascii="Calibri Light" w:hAnsi="Calibri Light" w:cs="Calibri Light"/>
        </w:rPr>
      </w:pPr>
      <w:r>
        <w:rPr>
          <w:rFonts w:ascii="Calibri Light" w:hAnsi="Calibri Light" w:cs="Calibri Light"/>
        </w:rPr>
        <w:t xml:space="preserve">Ar Likumprojekta 10.pantu Enerģētikas likuma 15.pants tiek papildināts ar </w:t>
      </w:r>
      <w:r>
        <w:rPr>
          <w:rFonts w:ascii="Calibri Light" w:hAnsi="Calibri Light" w:cs="Calibri Light"/>
          <w:color w:val="000000"/>
        </w:rPr>
        <w:t>6.</w:t>
      </w:r>
      <w:r>
        <w:rPr>
          <w:rFonts w:ascii="Calibri Light" w:hAnsi="Calibri Light" w:cs="Calibri Light"/>
          <w:color w:val="000000"/>
          <w:vertAlign w:val="superscript"/>
        </w:rPr>
        <w:t>1</w:t>
      </w:r>
      <w:r>
        <w:rPr>
          <w:rFonts w:ascii="Calibri Light" w:hAnsi="Calibri Light" w:cs="Calibri Light"/>
          <w:color w:val="000000"/>
        </w:rPr>
        <w:t xml:space="preserve"> daļu. Norādām, ka pēc būtības nav korekti šo daļu attiecināt uz elektroenerģijas pārvadi, jo saskaņā ar Elektroenerģijas tirgus likumu elektroenerģijas pārvade ir elektroenerģijas transportēšana, lai elektroenerģiju piegādātu enerģijas lietotājiem. Enerģijas lietotājs pārvades sistēmā ir  pārvades sistēmas dalībnieki tai skaitā sadales sistēmas operators.</w:t>
      </w:r>
      <w:r>
        <w:rPr>
          <w:rFonts w:ascii="Calibri Light" w:hAnsi="Calibri Light" w:cs="Calibri Light"/>
        </w:rPr>
        <w:t xml:space="preserve"> </w:t>
      </w:r>
      <w:r>
        <w:rPr>
          <w:rFonts w:ascii="Calibri Light" w:hAnsi="Calibri Light" w:cs="Calibri Light"/>
          <w:color w:val="000000"/>
        </w:rPr>
        <w:t xml:space="preserve">Ja šo regulējumu paredzēts attiecināt uz dabasgāzes nozari, tad lūdzam precizēt to, norādot, ka pieeja dabasgāzes sadales sistēmai paredz dabasgāzes pārvades sistēmas pakalpojumu izmantošanu Latvijas teritorijā. </w:t>
      </w:r>
    </w:p>
    <w:p w14:paraId="2D914E93" w14:textId="77777777" w:rsidR="00146AD9" w:rsidRDefault="00146AD9" w:rsidP="00146AD9">
      <w:pPr>
        <w:pStyle w:val="ListParagraph"/>
        <w:numPr>
          <w:ilvl w:val="0"/>
          <w:numId w:val="1"/>
        </w:numPr>
        <w:ind w:left="0" w:firstLine="567"/>
        <w:contextualSpacing/>
        <w:jc w:val="both"/>
        <w:rPr>
          <w:rFonts w:ascii="Calibri Light" w:hAnsi="Calibri Light" w:cs="Calibri Light"/>
        </w:rPr>
      </w:pPr>
      <w:r>
        <w:rPr>
          <w:rFonts w:ascii="Calibri Light" w:hAnsi="Calibri Light" w:cs="Calibri Light"/>
        </w:rPr>
        <w:t>Saskaņā ar Civillikuma 1129.</w:t>
      </w:r>
      <w:r>
        <w:rPr>
          <w:rFonts w:ascii="Calibri Light" w:hAnsi="Calibri Light" w:cs="Calibri Light"/>
          <w:vertAlign w:val="superscript"/>
        </w:rPr>
        <w:t>1</w:t>
      </w:r>
      <w:r>
        <w:rPr>
          <w:rFonts w:ascii="Calibri Light" w:hAnsi="Calibri Light" w:cs="Calibri Light"/>
        </w:rPr>
        <w:t xml:space="preserve"> pantu apbūves tiesība ir ar līgumu piešķirta mantojama un atsavināma lietu tiesība celt un lietot uz sveša zemes gabala nedzīvojamu ēku vai inženierbūvi kā īpašniekam šīs tiesības spēkā esamības laikā.</w:t>
      </w:r>
    </w:p>
    <w:p w14:paraId="3A803BAA"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Attīstot elektroenerģijas pārvades sistēmu, AS “Augstsprieguma tīkls” (turpmāk – AST) ir nepieciešamība būvēt jaunus elektroenerģijas pārvades sistēmas objektus (nedzīvojamas ēkas vai inženierbūves, piemēram, slēgtā tipa un āra tipa apakšstacijas), un šādu objektu būvniecībai uz trešajai personai piederošā zemes gabala ir tikuši un var tikt noslēgti apbūves tiesību līgumi ar zemes īpašnieku. Uzsverams, ka apbūves tiesību izlietošanas gadījumi nav jaucami ar gadījumiem, kad inženierbūve tiek izvietota uz zemes lietošanas tiesību aprobežojuma pamata.</w:t>
      </w:r>
    </w:p>
    <w:p w14:paraId="647DAF90"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Atbilstoši Civillikuma 1129.</w:t>
      </w:r>
      <w:r>
        <w:rPr>
          <w:rFonts w:ascii="Calibri Light" w:hAnsi="Calibri Light" w:cs="Calibri Light"/>
          <w:vertAlign w:val="superscript"/>
        </w:rPr>
        <w:t>9</w:t>
      </w:r>
      <w:r>
        <w:rPr>
          <w:rFonts w:ascii="Calibri Light" w:hAnsi="Calibri Light" w:cs="Calibri Light"/>
        </w:rPr>
        <w:t xml:space="preserve"> pantam zemes gabala īpašnieks uz apbūves tiesības pamata uzcelto nedzīvojamo ēku (inženierbūvi) pēc apbūves tiesības izbeigšanās iegūst īpašumā.</w:t>
      </w:r>
    </w:p>
    <w:p w14:paraId="44C51A1A"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Saskaņā ar Civillikuma 1129.</w:t>
      </w:r>
      <w:r>
        <w:rPr>
          <w:rFonts w:ascii="Calibri Light" w:hAnsi="Calibri Light" w:cs="Calibri Light"/>
          <w:vertAlign w:val="superscript"/>
        </w:rPr>
        <w:t>2</w:t>
      </w:r>
      <w:r>
        <w:rPr>
          <w:rFonts w:ascii="Calibri Light" w:hAnsi="Calibri Light" w:cs="Calibri Light"/>
        </w:rPr>
        <w:t xml:space="preserve"> pantu apbūves tiesību līgumam noteikti jānosaka tā darbības termiņš. Līdz ar to apbūves tiesību līgums nevar būt beztermiņa līgums, un, tam izbeidzoties, nedzīvojamā ēka vai inženierbūve kļūst par zemes gabala īpašnieka īpašumu.</w:t>
      </w:r>
    </w:p>
    <w:p w14:paraId="58873BC6"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 xml:space="preserve">Ne Enerģētikas likumā, ne Civillikumā nav noteikts, kāda piederība vai lietošanas kārtība energoapgādes komersanta objektam ir pēc apbūves tiesību līguma termiņa beigām. </w:t>
      </w:r>
    </w:p>
    <w:p w14:paraId="570CFD16"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 xml:space="preserve">Elektroenerģijas pārvades sistēmai nepieciešamā energoapgādes komersanta objekta piederība par labu energoapgādes komersantam noteikta Elektroenerģijas tirgus likuma 10.pantā, saskaņā ar ko pārvades sistēma (ietver savstarpēji savienotus tīklus un iekārtas, tajā skaitā starpvalstu savienojumus, kuru spriegums ir 110 un vairāk kilovoltu un kuri tiek izmantoti pārvadei līdz attiecīgajai sadales sistēmai vai lietotājiem) ir pārvades sistēmas operatora īpašums. Šī norma Elektroenerģijas tirgus likumā iestrādāta, pamatojoties uz Eiropas Savienības tiesību aktu prasībām attiecībā uz pārvades sistēmas operatora darbību un pārvadē izmantojamo aktīvu piederību. Proti, saskaņā ar Eiropas Parlamenta un Padomes 2019. gada 5. jūnija direktīvas  (ES) 2019/944  par kopīgiem noteikumiem attiecībā uz elektroenerģijas iekšējo tirgu un ar ko groza Direktīvu 2012/27/ES 43.pantu, kurā noteikti pamatprincipi pārvades sistēmas operatoru darbībai, visi uzņēmumi, kam pieder pārvades sistēma, darbojas kā pārvades sistēmu operatori. No minētā izriet, ka nav pieļaujama īpašumtiesību uz pārvades aktīvu nodošana trešajai personai. Tomēr, ievērojot, ka Elektroenerģijas tirgus likuma mērķis atbilstoši minētā </w:t>
      </w:r>
      <w:r>
        <w:rPr>
          <w:rFonts w:ascii="Calibri Light" w:hAnsi="Calibri Light" w:cs="Calibri Light"/>
        </w:rPr>
        <w:lastRenderedPageBreak/>
        <w:t>likuma 2. pantam ir elektroenerģijas tirgus darbība, būtu nepieciešams noteikt energoapgādes komersanta objekta piederību arī plašākā izpratnē, t.i. attiecībā uz enerģētiku kā tautsaimniecības nozari kopumā.</w:t>
      </w:r>
    </w:p>
    <w:p w14:paraId="28560CE3"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Uzskatām, ka energoapgādes komersanta objekta piederība pēc apbūves tiesību līguma izbeigšanās pie pastāvošā regulējuma ir neskaidra un nav viennozīmīga. Jau šobrīd praksē AST  ir saskārusies ar situāciju, ka zemes īpašnieks atsakās no apbūves tiesību līguma noslēgšanas, tā faktiski liedzot energoapgādes komersanta objekta īstenošanu, ja AST nepiekrīt energoapgādes komersanta objekta īpašumtiesību nodošanai zemes īpašniekam. Lai turpmāk izvairītos no šādiem riskiem, viestu skaidrību saistībā ar minēto un, ievērojot, ka Enerģētikas likumā ir tieši regulēts jautājums par energoapgādes komersanta objekta izbūvi trešajām personām piederošajā īpašumā, ierosinām Enerģētikas likumā noteikt, ka elektroenerģijas pārvadei nepieciešamie energoapgādes komersanta objekti pēc to izveidošanas pieder energoapgādes komersantam.</w:t>
      </w:r>
    </w:p>
    <w:p w14:paraId="0839166B"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 xml:space="preserve">Minētā sakarā ierosinām papildināt Enerģētikas likuma 19. pantu ar septīto daļu, izsakot to šādā redakcijā: </w:t>
      </w:r>
    </w:p>
    <w:p w14:paraId="111DB1F5"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"Energoapgādes komersanta, kas sniedz elektroenerģijas pārvades pakalpojumus, objekti pēc to izveidošanas pieder šim energoapgādes komersantam."</w:t>
      </w:r>
    </w:p>
    <w:p w14:paraId="3B40C87D"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 xml:space="preserve">Papildus šobrīd AST ir noslēgusi vairākus apbūves tiesību līgumus, un no tiem visiem izriet, ka īpašumtiesības uz energoapgādes komersanta objektu pēc apbūves tiesību līguma pāriet zemes īpašniekam. Tomēr, ņemot vērā iepriekš minēto attiecībā uz pārvades aktīvu piederību, kā arī Elektroenerģijas tirgus likuma 11.panta pirmajā daļā noteikto, ka Latvijā ir tikai viens pārvades sistēmas operators, atkārtoti norādām, ka trešo personu īpašumtiesību iegūšana uz energoapgādes komersanta objektiem nav pieļaujama. Bez tam šie energoapgādes komersanta objekti ir 3. kategorijas būves, kas ir sevišķi elektrobīstamas. Tādēļ nav skaidrs, kādas būs zemes īpašnieka tiesības un pienākumi attiecībā uz pārvades sistēmai piederošo ēku vai inženierbūvi, kad tā nonāks zemes īpašnieka īpašumā pēc apbūves tiesību līguma izbeigšanās. </w:t>
      </w:r>
    </w:p>
    <w:p w14:paraId="3F583E00" w14:textId="77777777" w:rsidR="00146AD9" w:rsidRDefault="00146AD9" w:rsidP="00146AD9">
      <w:pPr>
        <w:pStyle w:val="ListParagraph"/>
        <w:ind w:left="0" w:firstLine="567"/>
        <w:jc w:val="both"/>
        <w:rPr>
          <w:rFonts w:ascii="Calibri Light" w:hAnsi="Calibri Light" w:cs="Calibri Light"/>
          <w:color w:val="FF0000"/>
        </w:rPr>
      </w:pPr>
      <w:r>
        <w:rPr>
          <w:rFonts w:ascii="Calibri Light" w:hAnsi="Calibri Light" w:cs="Calibri Light"/>
        </w:rPr>
        <w:t xml:space="preserve">Ņemot vērā minēto un Oficiālo publikāciju un tiesiskās informācijas likuma 9. panta ceturto daļu, Enerģētikas likuma 19. panta grozījumiem būtu iesakāms piemērot atpakaļejošu spēku un attiecināt tos uz visiem elektroenerģijas pārvadei nepieciešamajiem energoapgādes komersanta objektiem, par kuru izbūvi līdz Enerģētikas likuma 19. panta grozījumu spēkā stāšanās dienai noslēgti apbūves tiesību līgumi. </w:t>
      </w:r>
    </w:p>
    <w:p w14:paraId="374F50A1" w14:textId="77777777" w:rsidR="00146AD9" w:rsidRDefault="00146AD9" w:rsidP="00146AD9">
      <w:pPr>
        <w:pStyle w:val="ListParagraph"/>
        <w:numPr>
          <w:ilvl w:val="0"/>
          <w:numId w:val="1"/>
        </w:numPr>
        <w:ind w:left="0" w:firstLine="567"/>
        <w:contextualSpacing/>
        <w:jc w:val="both"/>
        <w:rPr>
          <w:rFonts w:ascii="Calibri Light" w:hAnsi="Calibri Light" w:cs="Calibri Light"/>
        </w:rPr>
      </w:pPr>
      <w:r>
        <w:rPr>
          <w:rFonts w:ascii="Calibri Light" w:hAnsi="Calibri Light" w:cs="Calibri Light"/>
        </w:rPr>
        <w:t>Uzturam Finanšu ministrijas (21.04.2021.) atzinuma 11.iebildumu, proti, Ekonomikas ministrija izziņā atzīmējusi, ka iebildums ņemts vērā, un skaidrojusi, ka “Valsts atbalsta piešķiršana tiek veikta citos tiesību aktos, kuros tad arī tiktu noteikti nosacījumi par valsts atbalsta atbilstību komercdarbības atbalsta nosacījumiem”, vienlaikus arī Likumprojekta 22.pantā ietvertās Enerģētikas likuma X1 nodaļas 58.</w:t>
      </w:r>
      <w:r>
        <w:rPr>
          <w:rFonts w:ascii="Calibri Light" w:hAnsi="Calibri Light" w:cs="Calibri Light"/>
          <w:vertAlign w:val="superscript"/>
        </w:rPr>
        <w:t>4</w:t>
      </w:r>
      <w:r>
        <w:rPr>
          <w:rFonts w:ascii="Calibri Light" w:hAnsi="Calibri Light" w:cs="Calibri Light"/>
        </w:rPr>
        <w:t xml:space="preserve"> panta (1) daļas 2) apakšpunkts nosaka, ka “piešķirot tiesības atbalsta shēmas ietvaros saņemt finansiālo atbalstu par biodegvielu, bioloģisko šķidro kurināmo, biomasa kurināmo un biomasas degvielu patēriņu”, no biodegvielu, bioloģisko šķidro kurināmo, biogāzes, biomasas kurināmo un biomasas degvielu iegūtai enerģijai jāatbilst šajā likumā un Transporta enerģijas likumā noteiktajiem ilgtspējas kritērijiem un siltumnīcefekta gāzu emisiju ietaupījuma kritērijiem. Attiecīgi, ņemot vērā izziņā un Likumprojektā iekļauto informāciju, Likumprojektā ir jānosaka Ministru kabinetam deleģējums cita starpā noteikt kārtību komercdarbības atbalsta piešķiršanai, lai nodrošinātu, ka finansiālais atbalsts par biodegvielu, bioloģisko šķidro kurināmo, biomasa kurināmo un biomasas degvielu patēriņu, tiks sniegts izvērtējot tā atbilstību komercdarbības atbalsta nosacījumiem. Līdz ar to lūdzam 22.pantā ietvertās Enerģētikas likuma X1 nodaļas 58.</w:t>
      </w:r>
      <w:r>
        <w:rPr>
          <w:rFonts w:ascii="Calibri Light" w:hAnsi="Calibri Light" w:cs="Calibri Light"/>
          <w:vertAlign w:val="superscript"/>
        </w:rPr>
        <w:t>4</w:t>
      </w:r>
      <w:r>
        <w:rPr>
          <w:rFonts w:ascii="Calibri Light" w:hAnsi="Calibri Light" w:cs="Calibri Light"/>
        </w:rPr>
        <w:t xml:space="preserve"> panta (14) daļu papildināt ar apakšpunktu, kas nosaka deleģējumu Ministru kabinetam noteikt kārtību komercdarbības atbalsta piešķiršanai.</w:t>
      </w:r>
      <w:r>
        <w:rPr>
          <w:rFonts w:ascii="Calibri Light" w:hAnsi="Calibri Light" w:cs="Calibri Light"/>
          <w:color w:val="FF0000"/>
        </w:rPr>
        <w:t xml:space="preserve"> </w:t>
      </w:r>
    </w:p>
    <w:p w14:paraId="78D50707" w14:textId="77777777" w:rsidR="00146AD9" w:rsidRDefault="00146AD9" w:rsidP="00146AD9">
      <w:pPr>
        <w:pStyle w:val="ListParagraph"/>
        <w:numPr>
          <w:ilvl w:val="0"/>
          <w:numId w:val="1"/>
        </w:numPr>
        <w:ind w:left="0" w:firstLine="567"/>
        <w:contextualSpacing/>
        <w:jc w:val="both"/>
        <w:rPr>
          <w:rFonts w:ascii="Calibri Light" w:hAnsi="Calibri Light" w:cs="Calibri Light"/>
        </w:rPr>
      </w:pPr>
      <w:r>
        <w:rPr>
          <w:rFonts w:ascii="Calibri Light" w:hAnsi="Calibri Light" w:cs="Calibri Light"/>
        </w:rPr>
        <w:t xml:space="preserve">Likumprojekta 39.pants paredz papildināt Enerģētikas likumu ar 124. pantu par vienotu kontaktpunktu enerģijas ražošanas iekārtu ieviešanai. Atbilstoši Likumprojekta anotācijā noteiktajam vienota kontaktpunkta izveide ir nepieciešama, lai enerģijas ražošanas iekārtu ieviesējam nebūtu jāvēršas pie vairākām iestādēm (piemēram, Ekonomikas ministrijas, elektroenerģijas sistēmas operatora, būvvaldes), bet nepieciešamās darbības atļauju saņemšanai varētu tikt veiktas ar vienas iestādes starpniecību, kura nodrošinās kopējo procesa koordināciju un komunikāciju ar iesniedzēju. Iebilstam pret šāda vienota kontaktpunkta izveidi pārvades sistēmas operatoram pieslēdzamu ražošanas iekārtu pieslēgšanas procesā, jo šāda regulējuma ieviešana neveicinātu vēlamo procesa efektivitātes paaugstināšanu. Proti, jaunu elektroenerģijas ražošanas iekārtu pieslēgšana pie pārvades sistēmas </w:t>
      </w:r>
      <w:r>
        <w:rPr>
          <w:rFonts w:ascii="Calibri Light" w:hAnsi="Calibri Light" w:cs="Calibri Light"/>
        </w:rPr>
        <w:lastRenderedPageBreak/>
        <w:t>notiek reti  un tas ir sarežģīts un laikietilpīgs process. Šis process tiek organizēts atbilstoši Sabiedrisko pakalpojumu regulēšanas komisijas apstiprinātiem pieslēguma noteikumiem un Eiropas Komisijas 2016.gada 14.aprīļa Regulu Nr.2016/631, ar ko izveido tīkla kodeksu par ģeneratoriem piemērojamajām tīkla pieslēguma prasībām. Tehnisko prasību definēšana jaunu elektroenerģijas ražošanas iekārtu pievienošanas procesā notiek pārvades sistēmas operatora un elektroenerģijas ražotāja ciešā sadarbībā ar mērķi elektroenerģijas ražotājam sniegt pilnīgu informāciju par pārvades sistēmas operatora izvirzītājam prasībām. Attiecīgi šī procesa efektīvai organizēšanai nepieciešama obligāta pārvades sistēmas operatora tieša komunikācija ar elektroenerģijas ražotāju un jebkāda starpposma ietveršana neveicinās procesa paātrināšanu. Tādejādi, neskatoties uz tiesību normā ietverto nosacījumu, ka vienotais kontaktpunkts nav jāizmanto obligāti, pārvades sistēmas operatoram pieslēdzamu ražošanas iekārtu pieslēgšanas procesā ražošanas iekārtu ieviesējam tāpat vienmēr būtu jāvēršas pie pārvades sistēmas operatora, bet vienotais kontaktpunkts būtu tikai kā starpnieks, kas tikai sarežģīs šo procesu.</w:t>
      </w:r>
    </w:p>
    <w:p w14:paraId="1F7B8FE1"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 xml:space="preserve">Ņemot vērā augstāk minēto, Enerģētikas likuma 123.pants nebūtu neattiecināms uz pieslēgumu pie pārvades sistēmas ierīkošanu. </w:t>
      </w:r>
    </w:p>
    <w:p w14:paraId="624B79C9" w14:textId="77777777" w:rsidR="00146AD9" w:rsidRDefault="00146AD9" w:rsidP="00146AD9">
      <w:pPr>
        <w:pStyle w:val="ListParagraph"/>
        <w:numPr>
          <w:ilvl w:val="0"/>
          <w:numId w:val="1"/>
        </w:numPr>
        <w:ind w:left="0" w:firstLine="567"/>
        <w:contextualSpacing/>
        <w:jc w:val="both"/>
        <w:rPr>
          <w:rFonts w:ascii="Calibri Light" w:hAnsi="Calibri Light" w:cs="Calibri Light"/>
          <w:u w:val="single"/>
        </w:rPr>
      </w:pPr>
      <w:r>
        <w:rPr>
          <w:rFonts w:ascii="Calibri Light" w:hAnsi="Calibri Light" w:cs="Calibri Light"/>
        </w:rPr>
        <w:t xml:space="preserve">Pašlaik Likumprojekta pārejas noteikumu 63.punkta redakcija nosaka “Par dabasgāzes piegādi sadales gāzesvadam, kas vēsturiski nav savienots ar Latvijas dabasgāzes pārvades sistēmu, saskaņā ar 106.pantā noteikto, ir atbildīgs tirgotājs, kas tirgo dabasgāzi lietotājam, kura gazificētais objekts ir pieslēgts pie, ar Latvijas pārvades sistēmu nesavienota, gāzesvada.”, līdz ar to, lai regulējumā ietvertais nosacījums būtu skaidrs un nepārprotams atkārtoti aicinām izteikt to šādā redakcijā “63. Par dabasgāzes piegādi sadales gāzesvadam, kas vēsturiski nav savienots ar Latvijas dabasgāzes pārvades sistēmu, saskaņā ar 106.pantā noteikto, ir atbildīgs tirgotājs, kas tirgo dabasgāzi lietotājam, kura gazificētais objekts ir pieslēgts pie gāzesvada, kas nav savienots ar Latvijas dabasgāzes pārvades sistēmu.” </w:t>
      </w:r>
    </w:p>
    <w:p w14:paraId="048C0610" w14:textId="77777777" w:rsidR="00146AD9" w:rsidRDefault="00146AD9" w:rsidP="00146AD9">
      <w:pPr>
        <w:pStyle w:val="ListParagraph"/>
        <w:numPr>
          <w:ilvl w:val="0"/>
          <w:numId w:val="1"/>
        </w:numPr>
        <w:autoSpaceDN w:val="0"/>
        <w:ind w:left="0" w:firstLine="567"/>
        <w:contextualSpacing/>
        <w:jc w:val="both"/>
        <w:rPr>
          <w:rFonts w:ascii="Calibri Light" w:hAnsi="Calibri Light" w:cs="Calibri Light"/>
        </w:rPr>
      </w:pPr>
      <w:r>
        <w:rPr>
          <w:rFonts w:ascii="Calibri Light" w:hAnsi="Calibri Light" w:cs="Calibri Light"/>
        </w:rPr>
        <w:t>Vēršam uzmanību, ka izziņas 162.lpp. pie Finanšu ministrijas iebilduma attiecībā uz likumprojekta 24.pantā (attiecībā uz likuma 58.</w:t>
      </w:r>
      <w:r>
        <w:rPr>
          <w:rFonts w:ascii="Calibri Light" w:hAnsi="Calibri Light" w:cs="Calibri Light"/>
          <w:vertAlign w:val="superscript"/>
        </w:rPr>
        <w:t>6</w:t>
      </w:r>
      <w:r>
        <w:rPr>
          <w:rFonts w:ascii="Calibri Light" w:hAnsi="Calibri Light" w:cs="Calibri Light"/>
        </w:rPr>
        <w:t xml:space="preserve">panta otrās daļas 6. un 7.punktu) minētās nodevas nosaukuma precizēšanu atbilstoši Ministru kabineta 2015.gada 22.decembra noteikumiem Nr.805 “Noteikumi par ogļūdeņražu meklēšanu, izpēti un ieguvi”, ir norādīts, ka iebildums ir ņemts vērā. Tomēr vēršam uzmanību, ka Likumprojektā iekļautā redakcija attiecībā uz valsts nodevas nosaukumu nav precīza. Līdz ar to lūdzam atkārtoti,  </w:t>
      </w:r>
      <w:r>
        <w:rPr>
          <w:rFonts w:ascii="Calibri Light" w:hAnsi="Calibri Light" w:cs="Calibri Light"/>
          <w:color w:val="000000"/>
          <w:shd w:val="clear" w:color="auto" w:fill="FFFFFF"/>
        </w:rPr>
        <w:t>precizēt Likumprojekta 24.pantā (attiecībā uz likuma 58.</w:t>
      </w:r>
      <w:r>
        <w:rPr>
          <w:rFonts w:ascii="Calibri Light" w:hAnsi="Calibri Light" w:cs="Calibri Light"/>
          <w:color w:val="000000"/>
          <w:shd w:val="clear" w:color="auto" w:fill="FFFFFF"/>
          <w:vertAlign w:val="superscript"/>
        </w:rPr>
        <w:t>6</w:t>
      </w:r>
      <w:r>
        <w:rPr>
          <w:rFonts w:ascii="Calibri Light" w:hAnsi="Calibri Light" w:cs="Calibri Light"/>
          <w:color w:val="000000"/>
          <w:shd w:val="clear" w:color="auto" w:fill="FFFFFF"/>
        </w:rPr>
        <w:t xml:space="preserve"> panta otrās daļas 6. un 7.punktu) minētās nodevas nosaukumu atbilstoši Ministru kabineta 2015.gada 22.decembra noteikumiem Nr.805 "Noteikumi par ogļūdeņražu meklēšanu, izpēti un ieguvi", lai būtu nepārprotami skaidrs, kuras nodevas ieņēmumi tiks izmantoti Atjaunojamās enerģijas un energoefektivitātes fonda finansēšanai. </w:t>
      </w:r>
    </w:p>
    <w:p w14:paraId="0AD158D3"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color w:val="000000"/>
          <w:shd w:val="clear" w:color="auto" w:fill="FFFFFF"/>
        </w:rPr>
        <w:t>Papildus informējam, ka iepriekš minētajos noteikumos ir noteikts regulējums attiecībā uz četriem valsts nodevu veidiem. Ievērojot, ka izziņā ir minēts, ka “…</w:t>
      </w:r>
      <w:r>
        <w:rPr>
          <w:rFonts w:ascii="Calibri Light" w:hAnsi="Calibri Light" w:cs="Calibri Light"/>
        </w:rPr>
        <w:t xml:space="preserve">šajā punktā ir iekļauta atsauce uz visām MK noteikumu Nr.805 130.-133.punktā minētajām valsts nodevām”, lūdzam Likumprojekta redakciju izstrādāt tā, lai no redakcijas tas būtu skaidrs, jo šobrīd no Likumprojekta tas neizriet. </w:t>
      </w:r>
    </w:p>
    <w:p w14:paraId="1C49554B" w14:textId="77777777" w:rsidR="00146AD9" w:rsidRDefault="00146AD9" w:rsidP="00146AD9">
      <w:pPr>
        <w:pStyle w:val="ListParagraph"/>
        <w:numPr>
          <w:ilvl w:val="0"/>
          <w:numId w:val="1"/>
        </w:numPr>
        <w:autoSpaceDN w:val="0"/>
        <w:ind w:left="0" w:firstLine="567"/>
        <w:contextualSpacing/>
        <w:jc w:val="both"/>
        <w:rPr>
          <w:rFonts w:ascii="Calibri Light" w:hAnsi="Calibri Light" w:cs="Calibri Light"/>
          <w:color w:val="000000"/>
          <w:shd w:val="clear" w:color="auto" w:fill="FFFFFF"/>
        </w:rPr>
      </w:pPr>
      <w:r>
        <w:rPr>
          <w:rFonts w:ascii="Calibri Light" w:hAnsi="Calibri Light" w:cs="Calibri Light"/>
        </w:rPr>
        <w:t xml:space="preserve">Izziņas 247.lpp. pie Finanšu ministrijas iebilduma par anotācijas I sadaļas 2.punktā iekļauto informāciju (12.lpp.16.apakšpunkta redakcija) ir norādīts, ka iebildums ir ņemts vērā, savukārt anotācijas 12.lpp. 16.apakšpunkta redakcija nav mainīta. Līdz ar to atkārtoti izsakām iebildumu par anotācijas I sadaļas 2.punkta redakciju (12.lpp.16.apakšpunkta redakcija) un lūdzam precizēt to tā, lai būtu nepārprotami skaidrs, par kuru valsts nodevu tiek skaidrots. </w:t>
      </w:r>
    </w:p>
    <w:p w14:paraId="4459F264" w14:textId="77777777" w:rsidR="00146AD9" w:rsidRDefault="00146AD9" w:rsidP="00146AD9">
      <w:pPr>
        <w:pStyle w:val="ListParagraph"/>
        <w:numPr>
          <w:ilvl w:val="0"/>
          <w:numId w:val="1"/>
        </w:numPr>
        <w:autoSpaceDN w:val="0"/>
        <w:ind w:left="0" w:firstLine="567"/>
        <w:contextualSpacing/>
        <w:jc w:val="both"/>
        <w:rPr>
          <w:rFonts w:ascii="Calibri Light" w:hAnsi="Calibri Light" w:cs="Calibri Light"/>
          <w:color w:val="000000"/>
          <w:shd w:val="clear" w:color="auto" w:fill="FFFFFF"/>
        </w:rPr>
      </w:pPr>
      <w:r>
        <w:rPr>
          <w:rFonts w:ascii="Calibri Light" w:hAnsi="Calibri Light" w:cs="Calibri Light"/>
        </w:rPr>
        <w:t xml:space="preserve">Atkārtoti norādām, ka nav atbalstāma tādu likumprojektu virzība, kam nav nodrošināts finansējums. Likumprojekts var tikt virzīts izskatīšanai Ministru kabinetā </w:t>
      </w:r>
      <w:r>
        <w:rPr>
          <w:rFonts w:ascii="Calibri Light" w:hAnsi="Calibri Light" w:cs="Calibri Light"/>
          <w:u w:val="single"/>
        </w:rPr>
        <w:t>tikai pēc tam</w:t>
      </w:r>
      <w:r>
        <w:rPr>
          <w:rFonts w:ascii="Calibri Light" w:hAnsi="Calibri Light" w:cs="Calibri Light"/>
        </w:rPr>
        <w:t xml:space="preserve">, kad 2022.gada valsts budžeta sagatavošanas procesā Ministru kabinetā </w:t>
      </w:r>
      <w:r>
        <w:rPr>
          <w:rFonts w:ascii="Calibri Light" w:hAnsi="Calibri Light" w:cs="Calibri Light"/>
          <w:u w:val="single"/>
        </w:rPr>
        <w:t>tiktu atbalstīta papildu finansējuma piešķiršana</w:t>
      </w:r>
      <w:r>
        <w:rPr>
          <w:rFonts w:ascii="Calibri Light" w:hAnsi="Calibri Light" w:cs="Calibri Light"/>
        </w:rPr>
        <w:t xml:space="preserve"> Ekonomikas ministrijai 2022.gadā 309 185 </w:t>
      </w:r>
      <w:r>
        <w:rPr>
          <w:rFonts w:ascii="Calibri Light" w:hAnsi="Calibri Light" w:cs="Calibri Light"/>
          <w:i/>
          <w:iCs/>
        </w:rPr>
        <w:t>euro</w:t>
      </w:r>
      <w:r>
        <w:rPr>
          <w:rFonts w:ascii="Calibri Light" w:hAnsi="Calibri Light" w:cs="Calibri Light"/>
        </w:rPr>
        <w:t xml:space="preserve"> apmēra, 2023.gadā un turpmāk ik gadu 272 515 </w:t>
      </w:r>
      <w:r>
        <w:rPr>
          <w:rFonts w:ascii="Calibri Light" w:hAnsi="Calibri Light" w:cs="Calibri Light"/>
          <w:i/>
          <w:iCs/>
        </w:rPr>
        <w:t>euro</w:t>
      </w:r>
      <w:r>
        <w:rPr>
          <w:rFonts w:ascii="Calibri Light" w:hAnsi="Calibri Light" w:cs="Calibri Light"/>
        </w:rPr>
        <w:t xml:space="preserve"> apmērā tajā paredzēto pasākumu īstenošanai. </w:t>
      </w:r>
    </w:p>
    <w:p w14:paraId="49B4BF7E" w14:textId="77777777" w:rsidR="00146AD9" w:rsidRDefault="00146AD9" w:rsidP="00146AD9">
      <w:pPr>
        <w:pStyle w:val="ListParagraph"/>
        <w:numPr>
          <w:ilvl w:val="0"/>
          <w:numId w:val="1"/>
        </w:numPr>
        <w:autoSpaceDN w:val="0"/>
        <w:ind w:left="0" w:firstLine="567"/>
        <w:contextualSpacing/>
        <w:jc w:val="both"/>
        <w:rPr>
          <w:rFonts w:ascii="Calibri Light" w:hAnsi="Calibri Light" w:cs="Calibri Light"/>
          <w:color w:val="000000"/>
          <w:shd w:val="clear" w:color="auto" w:fill="FFFFFF"/>
        </w:rPr>
      </w:pPr>
      <w:r>
        <w:rPr>
          <w:rFonts w:ascii="Calibri Light" w:hAnsi="Calibri Light" w:cs="Calibri Light"/>
        </w:rPr>
        <w:t xml:space="preserve">Turpinām uzturēt iepriekš izteikto iebildumu attiecībā uz atjaunojamās enerģijas veicināšanas un energoefektivitātes uzlabošanas fonda izveidi ar Ekonomikas ministrijas piedāvātajiem  finansēšanas avotiem.  Anotācijās 6. lpp ir norādīts, ka fonda nosacījumi </w:t>
      </w:r>
      <w:r>
        <w:rPr>
          <w:rFonts w:ascii="Calibri Light" w:hAnsi="Calibri Light" w:cs="Calibri Light"/>
          <w:u w:val="single"/>
        </w:rPr>
        <w:t>neparedz papildu valsts budžeta ieņēmumu ieplānošanu, bet esošo regulāro ieņēmumu pārdali</w:t>
      </w:r>
      <w:r>
        <w:rPr>
          <w:rFonts w:ascii="Calibri Light" w:hAnsi="Calibri Light" w:cs="Calibri Light"/>
        </w:rPr>
        <w:t xml:space="preserve">, attiecīgi budžeta plānošanas ietvaros AER un energoefektivitātes fonda līdzekļi netiks plānoti kā papildu ieņēmumi, bet konkrētā gada valsts budžeta izstrādes laikā tiks ieplānoti Ekonomikas ministrijas budžeta </w:t>
      </w:r>
      <w:r>
        <w:rPr>
          <w:rFonts w:ascii="Calibri Light" w:hAnsi="Calibri Light" w:cs="Calibri Light"/>
        </w:rPr>
        <w:lastRenderedPageBreak/>
        <w:t xml:space="preserve">apakšprogrammā 29.04.00. “Energoefektivitātes politikas ieviešana” un tiks uzskaitīta sadaļā “Dotācija no vispārējiem ieņēmumiem”. Atkārtoti norādām, ka </w:t>
      </w:r>
      <w:r>
        <w:rPr>
          <w:rFonts w:ascii="Calibri Light" w:hAnsi="Calibri Light" w:cs="Calibri Light"/>
          <w:u w:val="single"/>
        </w:rPr>
        <w:t xml:space="preserve">nav atbalstāma </w:t>
      </w:r>
      <w:r>
        <w:rPr>
          <w:rFonts w:ascii="Calibri Light" w:hAnsi="Calibri Light" w:cs="Calibri Light"/>
        </w:rPr>
        <w:t xml:space="preserve">likumā par valsts budžetu konkrētajam gadam un likumā par vidēja termiņa budžeta ietvaru </w:t>
      </w:r>
      <w:r>
        <w:rPr>
          <w:rFonts w:ascii="Calibri Light" w:hAnsi="Calibri Light" w:cs="Calibri Light"/>
          <w:u w:val="single"/>
        </w:rPr>
        <w:t>ieplānoto ieņēmumu pārdale, jo tas attiecīgi nozīmē jau ieplānoto izdevumu samazināšanu citiem mērķiem</w:t>
      </w:r>
      <w:r>
        <w:rPr>
          <w:rFonts w:ascii="Calibri Light" w:hAnsi="Calibri Light" w:cs="Calibri Light"/>
        </w:rPr>
        <w:t>. Vienlaikus nav saprotams kādi citi finanšu avoti fonda finansēšanai varētu būt noteikti likumā par valsts budžetu konkrētajam gadam un likumā par vidēja termiņa budžeta ietvaru (likumprojekta 58.</w:t>
      </w:r>
      <w:r>
        <w:rPr>
          <w:rFonts w:ascii="Calibri Light" w:hAnsi="Calibri Light" w:cs="Calibri Light"/>
          <w:vertAlign w:val="superscript"/>
        </w:rPr>
        <w:t>6</w:t>
      </w:r>
      <w:r>
        <w:rPr>
          <w:rFonts w:ascii="Calibri Light" w:hAnsi="Calibri Light" w:cs="Calibri Light"/>
        </w:rPr>
        <w:t xml:space="preserve"> panta 2.daļas 13.punkts).</w:t>
      </w:r>
    </w:p>
    <w:p w14:paraId="36232475" w14:textId="77777777" w:rsidR="00146AD9" w:rsidRDefault="00146AD9" w:rsidP="00146AD9">
      <w:pPr>
        <w:pStyle w:val="ListParagraph"/>
        <w:numPr>
          <w:ilvl w:val="0"/>
          <w:numId w:val="1"/>
        </w:numPr>
        <w:autoSpaceDN w:val="0"/>
        <w:ind w:left="0" w:firstLine="567"/>
        <w:contextualSpacing/>
        <w:jc w:val="both"/>
        <w:rPr>
          <w:rFonts w:ascii="Calibri Light" w:hAnsi="Calibri Light" w:cs="Calibri Light"/>
          <w:color w:val="000000"/>
          <w:shd w:val="clear" w:color="auto" w:fill="FFFFFF"/>
        </w:rPr>
      </w:pPr>
      <w:r>
        <w:rPr>
          <w:rFonts w:ascii="Calibri Light" w:hAnsi="Calibri Light" w:cs="Calibri Light"/>
        </w:rPr>
        <w:t>Anotācijas 7.lpp ir norādīts, ka atjaunojamās enerģijas veicināšanas un energoefektivitātes uzlabošanas fonda apjoms katru gadu varētu būt apmēram 9.7 milj.</w:t>
      </w:r>
      <w:r>
        <w:rPr>
          <w:rFonts w:ascii="Calibri Light" w:hAnsi="Calibri Light" w:cs="Calibri Light"/>
          <w:i/>
          <w:iCs/>
        </w:rPr>
        <w:t xml:space="preserve"> euro</w:t>
      </w:r>
      <w:r>
        <w:rPr>
          <w:rFonts w:ascii="Calibri Light" w:hAnsi="Calibri Light" w:cs="Calibri Light"/>
        </w:rPr>
        <w:t xml:space="preserve">. Ņemot vērā iepriekš minēto, ka papildu valsts budžeta ieņēmumi netiek plānoti, attiecīgi fondam nepieciešamais finansējums radīs  negatīvu ietekmi uz valsts budžetu, kas attiecīgi jānorāda anotācijas III sadaļā. </w:t>
      </w:r>
    </w:p>
    <w:p w14:paraId="7D3A749E" w14:textId="77777777" w:rsidR="00146AD9" w:rsidRDefault="00146AD9" w:rsidP="00146AD9">
      <w:pPr>
        <w:pStyle w:val="ListParagraph"/>
        <w:numPr>
          <w:ilvl w:val="0"/>
          <w:numId w:val="1"/>
        </w:numPr>
        <w:autoSpaceDN w:val="0"/>
        <w:ind w:left="0" w:firstLine="567"/>
        <w:contextualSpacing/>
        <w:jc w:val="both"/>
        <w:rPr>
          <w:rFonts w:ascii="Calibri Light" w:hAnsi="Calibri Light" w:cs="Calibri Light"/>
          <w:color w:val="000000"/>
          <w:shd w:val="clear" w:color="auto" w:fill="FFFFFF"/>
        </w:rPr>
      </w:pPr>
      <w:r>
        <w:rPr>
          <w:rFonts w:ascii="Calibri Light" w:hAnsi="Calibri Light" w:cs="Calibri Light"/>
        </w:rPr>
        <w:t xml:space="preserve">Anotācijas III sadaļas 6.punktā ir norādīts, ka pie izdevumiem ir jāpieskaita vismaz 70 tūkst. </w:t>
      </w:r>
      <w:r>
        <w:rPr>
          <w:rFonts w:ascii="Calibri Light" w:hAnsi="Calibri Light" w:cs="Calibri Light"/>
          <w:i/>
          <w:iCs/>
        </w:rPr>
        <w:t>euro</w:t>
      </w:r>
      <w:r>
        <w:rPr>
          <w:rFonts w:ascii="Calibri Light" w:hAnsi="Calibri Light" w:cs="Calibri Light"/>
        </w:rPr>
        <w:t xml:space="preserve"> IKT risinājumu izstrādei 2022.-2023.gadā un 20 tūkst. </w:t>
      </w:r>
      <w:r>
        <w:rPr>
          <w:rFonts w:ascii="Calibri Light" w:hAnsi="Calibri Light" w:cs="Calibri Light"/>
          <w:i/>
          <w:iCs/>
        </w:rPr>
        <w:t>euro</w:t>
      </w:r>
      <w:r>
        <w:rPr>
          <w:rFonts w:ascii="Calibri Light" w:hAnsi="Calibri Light" w:cs="Calibri Light"/>
        </w:rPr>
        <w:t xml:space="preserve"> IKT risinājum uzturēšanai attiecībā uz divgadu ziņojumu sagatavošanai nepieciešamajiem datiem, energokopienu reģistru uc. IKT risinājumiem. Ņemot vērā, ka IKT risinājumu izstrādei būs nepieciešams finansējums 70 000 </w:t>
      </w:r>
      <w:r>
        <w:rPr>
          <w:rFonts w:ascii="Calibri Light" w:hAnsi="Calibri Light" w:cs="Calibri Light"/>
          <w:i/>
          <w:iCs/>
        </w:rPr>
        <w:t>euro</w:t>
      </w:r>
      <w:r>
        <w:rPr>
          <w:rFonts w:ascii="Calibri Light" w:hAnsi="Calibri Light" w:cs="Calibri Light"/>
        </w:rPr>
        <w:t xml:space="preserve"> apmērā 2022. un 2023.gadā, attiecīgi jāsamazina 2024.gada un turpmāk ik gadu kopējais papildu nepieciešamais finansējuma apmērs, kā arī jāsniedz detalizētāks minēto izdevumu aprēķins. </w:t>
      </w:r>
    </w:p>
    <w:p w14:paraId="4698C29D" w14:textId="77777777" w:rsidR="00146AD9" w:rsidRDefault="00146AD9" w:rsidP="00146AD9">
      <w:pPr>
        <w:pStyle w:val="ListParagraph"/>
        <w:numPr>
          <w:ilvl w:val="0"/>
          <w:numId w:val="1"/>
        </w:numPr>
        <w:autoSpaceDN w:val="0"/>
        <w:ind w:left="0" w:firstLine="567"/>
        <w:contextualSpacing/>
        <w:jc w:val="both"/>
        <w:rPr>
          <w:rFonts w:ascii="Calibri Light" w:hAnsi="Calibri Light" w:cs="Calibri Light"/>
          <w:color w:val="000000"/>
          <w:shd w:val="clear" w:color="auto" w:fill="FFFFFF"/>
        </w:rPr>
      </w:pPr>
      <w:r>
        <w:rPr>
          <w:rFonts w:ascii="Calibri Light" w:hAnsi="Calibri Light" w:cs="Calibri Light"/>
        </w:rPr>
        <w:t xml:space="preserve">Anotācijas III sadaļas 8.punktā ir sniegta informācija par likumā “Par valsts budžetu 2021.gadam” un likumā “Par vidēja termiņa budžeta ietvaru 2021., 2022. un 2023. gadam” paredzēto finansējumu enerģētikas un klimata plāna pētniecības daļas īstenošanai 2021. gadā 1 403 014 </w:t>
      </w:r>
      <w:r>
        <w:rPr>
          <w:rFonts w:ascii="Calibri Light" w:hAnsi="Calibri Light" w:cs="Calibri Light"/>
          <w:i/>
          <w:iCs/>
        </w:rPr>
        <w:t>euro</w:t>
      </w:r>
      <w:r>
        <w:rPr>
          <w:rFonts w:ascii="Calibri Light" w:hAnsi="Calibri Light" w:cs="Calibri Light"/>
        </w:rPr>
        <w:t xml:space="preserve">, 2022. un 2023. gadā 2 000 000 </w:t>
      </w:r>
      <w:r>
        <w:rPr>
          <w:rFonts w:ascii="Calibri Light" w:hAnsi="Calibri Light" w:cs="Calibri Light"/>
          <w:i/>
          <w:iCs/>
        </w:rPr>
        <w:t>euro</w:t>
      </w:r>
      <w:r>
        <w:rPr>
          <w:rFonts w:ascii="Calibri Light" w:hAnsi="Calibri Light" w:cs="Calibri Light"/>
        </w:rPr>
        <w:t xml:space="preserve"> katru gadu. Ja minētais finansējums ir paredzēts likumprojektā paredzēto pasākumu īstenošanai, tad attiecīgi tas norādāms 1. un 2.punktā saskaņā kārtējā gada budžeta likumu un  vidēja termiņa ietvaru paredzēto.  </w:t>
      </w:r>
    </w:p>
    <w:p w14:paraId="6D6EEC8E" w14:textId="77777777" w:rsidR="00146AD9" w:rsidRDefault="00146AD9" w:rsidP="00146AD9">
      <w:pPr>
        <w:pStyle w:val="ListParagraph"/>
        <w:numPr>
          <w:ilvl w:val="0"/>
          <w:numId w:val="1"/>
        </w:numPr>
        <w:autoSpaceDN w:val="0"/>
        <w:ind w:left="0" w:firstLine="567"/>
        <w:contextualSpacing/>
        <w:jc w:val="both"/>
        <w:rPr>
          <w:rFonts w:ascii="Calibri Light" w:hAnsi="Calibri Light" w:cs="Calibri Light"/>
          <w:shd w:val="clear" w:color="auto" w:fill="FFFFFF"/>
        </w:rPr>
      </w:pPr>
      <w:r>
        <w:rPr>
          <w:rFonts w:ascii="Calibri Light" w:hAnsi="Calibri Light" w:cs="Calibri Light"/>
        </w:rPr>
        <w:t>Norādām, ka šobrīd Energoefektivitātes likuma 7.pants paredz  divu energoefektivitātes fondu izveidi, viens no kuriem ir valsts energoefektivitātes fonds, ko izveido Attīstības finanšu institūcija. Šāds fonds jau ir izveidots no Altum puses. Tāpat minētais likums nosaka gan šī fonda finanšu avotu, gan to, ka Ekonomikas ministrija nodrošina šā panta trešās daļas 1.punktā minēto iemaksu pārskaitīšanu valsts energoefektivitātes fondā Attīstības finanšu institūcijas rezerves kapitāla veidošanai </w:t>
      </w:r>
      <w:hyperlink r:id="rId7" w:tgtFrame="_blank" w:history="1">
        <w:r>
          <w:rPr>
            <w:rStyle w:val="Hyperlink"/>
            <w:rFonts w:ascii="Calibri Light" w:hAnsi="Calibri Light" w:cs="Calibri Light"/>
            <w:color w:val="auto"/>
          </w:rPr>
          <w:t>Attīstības finanšu institūcijas likuma</w:t>
        </w:r>
      </w:hyperlink>
      <w:r>
        <w:rPr>
          <w:rFonts w:ascii="Calibri Light" w:hAnsi="Calibri Light" w:cs="Calibri Light"/>
        </w:rPr>
        <w:t> izpratnē vai energoefektivitātes valsts atbalsta programmu īstenošanai.</w:t>
      </w:r>
    </w:p>
    <w:p w14:paraId="5375F686" w14:textId="77777777" w:rsidR="00146AD9" w:rsidRDefault="00146AD9" w:rsidP="00146AD9">
      <w:pPr>
        <w:pStyle w:val="tv213"/>
        <w:shd w:val="clear" w:color="auto" w:fill="FFFFFF"/>
        <w:spacing w:before="0" w:beforeAutospacing="0" w:after="0" w:afterAutospacing="0"/>
        <w:ind w:firstLine="567"/>
        <w:jc w:val="both"/>
        <w:rPr>
          <w:rFonts w:ascii="Calibri Light" w:hAnsi="Calibri Light" w:cs="Calibri Light"/>
          <w:sz w:val="22"/>
          <w:szCs w:val="22"/>
          <w:shd w:val="clear" w:color="auto" w:fill="FFFFFF"/>
        </w:rPr>
      </w:pPr>
      <w:r>
        <w:rPr>
          <w:rFonts w:ascii="Calibri Light" w:hAnsi="Calibri Light" w:cs="Calibri Light"/>
          <w:color w:val="000000"/>
          <w:sz w:val="22"/>
          <w:szCs w:val="22"/>
        </w:rPr>
        <w:t>Vienlaikus grozījumi Enerģētikas likumā paredz izveidot Atjaunojamās enerģijas un energoefektivitātes fondu, kura finanšu avots cita starpā minēts arī jau Altum izveidotais valsts energoefektivitātes fonds.  Likumprojekta 58.</w:t>
      </w:r>
      <w:r>
        <w:rPr>
          <w:rFonts w:ascii="Calibri Light" w:hAnsi="Calibri Light" w:cs="Calibri Light"/>
          <w:color w:val="000000"/>
          <w:sz w:val="22"/>
          <w:szCs w:val="22"/>
          <w:vertAlign w:val="superscript"/>
        </w:rPr>
        <w:t>6</w:t>
      </w:r>
      <w:r>
        <w:rPr>
          <w:rFonts w:ascii="Calibri Light" w:hAnsi="Calibri Light" w:cs="Calibri Light"/>
          <w:color w:val="000000"/>
          <w:sz w:val="22"/>
          <w:szCs w:val="22"/>
        </w:rPr>
        <w:t xml:space="preserve"> panta piektā daļa nosaka, ka </w:t>
      </w:r>
      <w:r>
        <w:rPr>
          <w:rFonts w:ascii="Calibri Light" w:hAnsi="Calibri Light" w:cs="Calibri Light"/>
          <w:color w:val="000000"/>
          <w:sz w:val="22"/>
          <w:szCs w:val="22"/>
          <w:lang w:eastAsia="en-US"/>
        </w:rPr>
        <w:t xml:space="preserve">Ministru kabinets nosaka iestādi, kas izveido un administrē </w:t>
      </w:r>
      <w:r>
        <w:rPr>
          <w:rFonts w:ascii="Calibri Light" w:hAnsi="Calibri Light" w:cs="Calibri Light"/>
          <w:color w:val="000000"/>
          <w:sz w:val="22"/>
          <w:szCs w:val="22"/>
          <w:shd w:val="clear" w:color="auto" w:fill="FFFFFF"/>
        </w:rPr>
        <w:t>atjaunojamās enerģijas un energoefektivitātes fondu un nosaka iestādes, kas īsteno valsts atbalsta programmas šī panta ceturtajā daļā minētajās jomās.</w:t>
      </w:r>
    </w:p>
    <w:p w14:paraId="6F7F6518" w14:textId="77777777" w:rsidR="00146AD9" w:rsidRDefault="00146AD9" w:rsidP="00146AD9">
      <w:pPr>
        <w:pStyle w:val="tv213"/>
        <w:shd w:val="clear" w:color="auto" w:fill="FFFFFF"/>
        <w:spacing w:before="0" w:beforeAutospacing="0" w:after="0" w:afterAutospacing="0"/>
        <w:ind w:firstLine="567"/>
        <w:jc w:val="both"/>
        <w:rPr>
          <w:rFonts w:ascii="Calibri Light" w:hAnsi="Calibri Light" w:cs="Calibri Light"/>
          <w:sz w:val="22"/>
          <w:szCs w:val="22"/>
          <w:shd w:val="clear" w:color="auto" w:fill="FFFFFF"/>
        </w:rPr>
      </w:pPr>
      <w:r>
        <w:rPr>
          <w:rFonts w:ascii="Calibri Light" w:hAnsi="Calibri Light" w:cs="Calibri Light"/>
          <w:color w:val="000000"/>
          <w:sz w:val="22"/>
          <w:szCs w:val="22"/>
          <w:shd w:val="clear" w:color="auto" w:fill="FFFFFF"/>
        </w:rPr>
        <w:t xml:space="preserve">Lūdzam sniegt skaidrojumu, kā šāds fonds, kura viena no fonda pārvaldītājs ir Altum, darbosies. </w:t>
      </w:r>
    </w:p>
    <w:p w14:paraId="05563193"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Grozījumos Enerģētikas likumā vai tā anotācijā nav noteikts, kas izveido atjaunojamās enerģijas un energoefektivitātes fondu.</w:t>
      </w:r>
    </w:p>
    <w:p w14:paraId="56B87E96" w14:textId="77777777" w:rsidR="00146AD9" w:rsidRDefault="00146AD9" w:rsidP="00146AD9">
      <w:pPr>
        <w:pStyle w:val="ListParagraph"/>
        <w:ind w:left="0" w:firstLine="567"/>
        <w:jc w:val="both"/>
        <w:rPr>
          <w:rFonts w:ascii="Calibri Light" w:hAnsi="Calibri Light" w:cs="Calibri Light"/>
          <w:sz w:val="20"/>
          <w:szCs w:val="20"/>
        </w:rPr>
      </w:pPr>
      <w:r>
        <w:rPr>
          <w:rFonts w:ascii="Calibri Light" w:hAnsi="Calibri Light" w:cs="Calibri Light"/>
        </w:rPr>
        <w:t>Šī iemesla dēļ nav skaidrs, kāda būs Altum rīcība, ja atjaunojamās enerģijas un energoefektivitātes fondu veidos kāda cita institūcija, ne Altum.</w:t>
      </w:r>
    </w:p>
    <w:p w14:paraId="7EDD2471"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Energoefektivitātes likumā ir noteikts, ka valsts energoefektivitātes fonda līdzekļus Altum izmanto:</w:t>
      </w:r>
    </w:p>
    <w:p w14:paraId="04CC0F18" w14:textId="77777777" w:rsidR="00146AD9" w:rsidRDefault="00146AD9" w:rsidP="00146AD9">
      <w:pPr>
        <w:pStyle w:val="ListParagraph"/>
        <w:numPr>
          <w:ilvl w:val="0"/>
          <w:numId w:val="2"/>
        </w:numPr>
        <w:ind w:left="0" w:firstLine="567"/>
        <w:contextualSpacing/>
        <w:jc w:val="both"/>
        <w:rPr>
          <w:rFonts w:ascii="Calibri Light" w:hAnsi="Calibri Light" w:cs="Calibri Light"/>
        </w:rPr>
      </w:pPr>
      <w:r>
        <w:rPr>
          <w:rFonts w:ascii="Calibri Light" w:hAnsi="Calibri Light" w:cs="Calibri Light"/>
        </w:rPr>
        <w:t>obligātā enerģijas galapatēriņa mērķa sasniegšanai;</w:t>
      </w:r>
    </w:p>
    <w:p w14:paraId="236BD1EE" w14:textId="77777777" w:rsidR="00146AD9" w:rsidRDefault="00146AD9" w:rsidP="00146AD9">
      <w:pPr>
        <w:pStyle w:val="ListParagraph"/>
        <w:numPr>
          <w:ilvl w:val="0"/>
          <w:numId w:val="2"/>
        </w:numPr>
        <w:ind w:left="0" w:firstLine="567"/>
        <w:contextualSpacing/>
        <w:jc w:val="both"/>
        <w:rPr>
          <w:rFonts w:ascii="Calibri Light" w:hAnsi="Calibri Light" w:cs="Calibri Light"/>
        </w:rPr>
      </w:pPr>
      <w:r>
        <w:rPr>
          <w:rFonts w:ascii="Calibri Light" w:hAnsi="Calibri Light" w:cs="Calibri Light"/>
        </w:rPr>
        <w:t>sabiedrības informēšanas un izglītošanas pasākumiem energoefektivitātes jomā.</w:t>
      </w:r>
    </w:p>
    <w:p w14:paraId="7A615280" w14:textId="77777777" w:rsidR="00146AD9" w:rsidRDefault="00146AD9" w:rsidP="00146AD9">
      <w:pPr>
        <w:ind w:firstLine="567"/>
        <w:jc w:val="both"/>
        <w:rPr>
          <w:rFonts w:ascii="Calibri Light" w:hAnsi="Calibri Light" w:cs="Calibri Light"/>
        </w:rPr>
      </w:pPr>
      <w:r>
        <w:rPr>
          <w:rFonts w:ascii="Calibri Light" w:hAnsi="Calibri Light" w:cs="Calibri Light"/>
        </w:rPr>
        <w:t>Savukārt, grozījumos Enerģētika likumā ir noteiktas trīs jomas, kurās var tikt izmantots atjaunojamās enerģijas un energoefektivitātes fonda finansējums.</w:t>
      </w:r>
    </w:p>
    <w:p w14:paraId="02A6FDCD" w14:textId="77777777" w:rsidR="00146AD9" w:rsidRDefault="00146AD9" w:rsidP="00146AD9">
      <w:pPr>
        <w:ind w:firstLine="567"/>
        <w:jc w:val="both"/>
        <w:rPr>
          <w:rFonts w:ascii="Calibri Light" w:hAnsi="Calibri Light" w:cs="Calibri Light"/>
        </w:rPr>
      </w:pPr>
      <w:r>
        <w:rPr>
          <w:rFonts w:ascii="Calibri Light" w:hAnsi="Calibri Light" w:cs="Calibri Light"/>
        </w:rPr>
        <w:t>Šajā gadījumā nav skaidrs, kuras šo divu likumu normas par valsts energoefektivitātes fonda līdzekļu izmantošanu būs piemērojamas.</w:t>
      </w:r>
    </w:p>
    <w:p w14:paraId="5B635A58" w14:textId="77777777" w:rsidR="00146AD9" w:rsidRDefault="00146AD9" w:rsidP="00146AD9">
      <w:pPr>
        <w:pStyle w:val="ListParagraph"/>
        <w:ind w:left="0" w:firstLine="567"/>
        <w:jc w:val="both"/>
        <w:rPr>
          <w:rFonts w:ascii="Calibri Light" w:hAnsi="Calibri Light" w:cs="Calibri Light"/>
        </w:rPr>
      </w:pPr>
      <w:r>
        <w:rPr>
          <w:rFonts w:ascii="Calibri Light" w:hAnsi="Calibri Light" w:cs="Calibri Light"/>
        </w:rPr>
        <w:t>Abos likumos arī ir atšķirīgs regulējums līdzekļu ieskaitīšanai fondā.</w:t>
      </w:r>
    </w:p>
    <w:p w14:paraId="0D8DB6A5" w14:textId="77777777" w:rsidR="00146AD9" w:rsidRDefault="00146AD9" w:rsidP="00146AD9">
      <w:pPr>
        <w:ind w:firstLine="567"/>
        <w:jc w:val="both"/>
        <w:rPr>
          <w:rFonts w:ascii="Calibri Light" w:hAnsi="Calibri Light" w:cs="Calibri Light"/>
        </w:rPr>
      </w:pPr>
      <w:r>
        <w:rPr>
          <w:rFonts w:ascii="Calibri Light" w:hAnsi="Calibri Light" w:cs="Calibri Light"/>
        </w:rPr>
        <w:t xml:space="preserve">No augstāk minētā izriet, ka ir nepieciešams veikt grozījumus arī Energoefektivitātes likumā, jo šobrīd būs divi likumi, kas regulēs valsts energoefektivitātes fonda darbību. </w:t>
      </w:r>
    </w:p>
    <w:p w14:paraId="10A485CD" w14:textId="77777777" w:rsidR="00146AD9" w:rsidRDefault="00146AD9" w:rsidP="00146AD9">
      <w:pPr>
        <w:ind w:firstLine="567"/>
        <w:jc w:val="both"/>
        <w:rPr>
          <w:rFonts w:ascii="Calibri Light" w:hAnsi="Calibri Light" w:cs="Calibri Light"/>
        </w:rPr>
      </w:pPr>
      <w:r>
        <w:rPr>
          <w:rFonts w:ascii="Calibri Light" w:hAnsi="Calibri Light" w:cs="Calibri Light"/>
        </w:rPr>
        <w:t>Abas šīs normas šobrīd nav savstarpēji salāgotas, kas nenodrošina skaidrus nosacījumus šī fonda un līdz ar to, arī atjaunojamās enerģijas un energoefektivitātes fonda darbībai.</w:t>
      </w:r>
    </w:p>
    <w:p w14:paraId="12ADC33F" w14:textId="77777777" w:rsidR="00146AD9" w:rsidRDefault="00146AD9" w:rsidP="00146AD9">
      <w:pPr>
        <w:ind w:firstLine="567"/>
        <w:jc w:val="both"/>
        <w:rPr>
          <w:rFonts w:ascii="Calibri Light" w:hAnsi="Calibri Light" w:cs="Calibri Light"/>
        </w:rPr>
      </w:pPr>
      <w:r>
        <w:rPr>
          <w:rFonts w:ascii="Calibri Light" w:hAnsi="Calibri Light" w:cs="Calibri Light"/>
        </w:rPr>
        <w:lastRenderedPageBreak/>
        <w:t>Ņemot vērā minēto, anotācijas IV. sadaļā “Tiesību akta projekta ietekme uz spēkā esošo tiesību normu sistēmu” ir jānorāda, ka nepieciešami grozījumi gan Energoefektivitātes likumā, kā arī Ministru kabineta 2017.gada 25.aprīļa noteikumos Nr.221 “Noteikumi par kārtību, kādā tiek veiktas iemaksas energoefektivitātes fondos, un to apmēru, kā arī valsts energoefektivitātes fonda līdzekļu izmantošanu”.</w:t>
      </w:r>
    </w:p>
    <w:p w14:paraId="2F27FD16" w14:textId="77777777" w:rsidR="00146AD9" w:rsidRDefault="00146AD9" w:rsidP="00146AD9">
      <w:pPr>
        <w:pStyle w:val="tv213"/>
        <w:shd w:val="clear" w:color="auto" w:fill="FFFFFF"/>
        <w:spacing w:before="0" w:beforeAutospacing="0" w:after="0" w:afterAutospacing="0"/>
        <w:ind w:firstLine="567"/>
        <w:jc w:val="both"/>
        <w:rPr>
          <w:rFonts w:ascii="Calibri Light" w:hAnsi="Calibri Light" w:cs="Calibri Light"/>
          <w:sz w:val="22"/>
          <w:szCs w:val="22"/>
          <w:shd w:val="clear" w:color="auto" w:fill="FFFFFF"/>
        </w:rPr>
      </w:pPr>
      <w:r>
        <w:rPr>
          <w:rFonts w:ascii="Calibri Light" w:hAnsi="Calibri Light" w:cs="Calibri Light"/>
          <w:color w:val="000000"/>
          <w:sz w:val="22"/>
          <w:szCs w:val="22"/>
          <w:shd w:val="clear" w:color="auto" w:fill="FFFFFF"/>
        </w:rPr>
        <w:t xml:space="preserve">Papildus vēršam uzmanību, ka Altum nav iestāde, bet kapitālsabiedrība, kurā visas akcijas pieder valstij. </w:t>
      </w:r>
    </w:p>
    <w:p w14:paraId="2C250D7C" w14:textId="77777777" w:rsidR="00146AD9" w:rsidRDefault="00146AD9" w:rsidP="00146AD9">
      <w:pPr>
        <w:autoSpaceDN w:val="0"/>
        <w:jc w:val="both"/>
        <w:rPr>
          <w:rFonts w:ascii="Times New Roman" w:hAnsi="Times New Roman" w:cs="Times New Roman"/>
          <w:color w:val="2F5496"/>
          <w:sz w:val="24"/>
          <w:szCs w:val="24"/>
          <w:shd w:val="clear" w:color="auto" w:fill="FFFFFF"/>
        </w:rPr>
      </w:pPr>
    </w:p>
    <w:p w14:paraId="24831561" w14:textId="77777777" w:rsidR="00146AD9" w:rsidRDefault="00146AD9" w:rsidP="00146AD9">
      <w:pPr>
        <w:pStyle w:val="xmsonormal"/>
      </w:pPr>
    </w:p>
    <w:p w14:paraId="53D80114" w14:textId="77777777" w:rsidR="00146AD9" w:rsidRDefault="00146AD9" w:rsidP="00146AD9">
      <w:pPr>
        <w:pStyle w:val="xmsonormal"/>
      </w:pPr>
    </w:p>
    <w:p w14:paraId="20AE4A1D" w14:textId="77777777" w:rsidR="00146AD9" w:rsidRDefault="00146AD9" w:rsidP="00146AD9">
      <w:pPr>
        <w:pStyle w:val="ListParagraph"/>
        <w:ind w:left="0" w:firstLine="567"/>
        <w:jc w:val="both"/>
        <w:rPr>
          <w:rFonts w:ascii="Times New Roman" w:hAnsi="Times New Roman" w:cs="Times New Roman"/>
        </w:rPr>
      </w:pPr>
      <w:r>
        <w:rPr>
          <w:rFonts w:ascii="Times New Roman" w:hAnsi="Times New Roman" w:cs="Times New Roman"/>
        </w:rPr>
        <w:t>Kupics 67725341</w:t>
      </w:r>
    </w:p>
    <w:p w14:paraId="595DF8F3" w14:textId="77777777" w:rsidR="00146AD9" w:rsidRDefault="00A26107" w:rsidP="00146AD9">
      <w:pPr>
        <w:pStyle w:val="ListParagraph"/>
        <w:ind w:left="0" w:firstLine="567"/>
        <w:jc w:val="both"/>
        <w:rPr>
          <w:rFonts w:ascii="Times New Roman" w:hAnsi="Times New Roman" w:cs="Times New Roman"/>
        </w:rPr>
      </w:pPr>
      <w:hyperlink r:id="rId8" w:history="1">
        <w:r w:rsidR="00146AD9">
          <w:rPr>
            <w:rStyle w:val="Hyperlink"/>
            <w:rFonts w:ascii="Times New Roman" w:hAnsi="Times New Roman" w:cs="Times New Roman"/>
          </w:rPr>
          <w:t>oskars.kupics@ast.lv</w:t>
        </w:r>
      </w:hyperlink>
    </w:p>
    <w:p w14:paraId="052467E2" w14:textId="77777777" w:rsidR="00146AD9" w:rsidRDefault="00146AD9" w:rsidP="00146AD9">
      <w:pPr>
        <w:pStyle w:val="ListParagraph"/>
        <w:ind w:left="0" w:firstLine="567"/>
        <w:jc w:val="both"/>
        <w:rPr>
          <w:rFonts w:ascii="Times New Roman" w:hAnsi="Times New Roman" w:cs="Times New Roman"/>
        </w:rPr>
      </w:pPr>
    </w:p>
    <w:p w14:paraId="60B20844" w14:textId="77777777" w:rsidR="00146AD9" w:rsidRDefault="00146AD9" w:rsidP="00146AD9">
      <w:pPr>
        <w:pStyle w:val="ListParagraph"/>
        <w:ind w:left="0" w:firstLine="567"/>
        <w:jc w:val="both"/>
        <w:rPr>
          <w:rFonts w:ascii="Times New Roman" w:hAnsi="Times New Roman" w:cs="Times New Roman"/>
        </w:rPr>
      </w:pPr>
      <w:r>
        <w:rPr>
          <w:rFonts w:ascii="Times New Roman" w:hAnsi="Times New Roman" w:cs="Times New Roman"/>
        </w:rPr>
        <w:t>Kreicberga 67095572</w:t>
      </w:r>
    </w:p>
    <w:p w14:paraId="28F3F744" w14:textId="77777777" w:rsidR="00146AD9" w:rsidRDefault="00A26107" w:rsidP="00146AD9">
      <w:pPr>
        <w:pStyle w:val="ListParagraph"/>
        <w:ind w:left="0" w:firstLine="567"/>
        <w:jc w:val="both"/>
        <w:rPr>
          <w:rFonts w:ascii="Times New Roman" w:hAnsi="Times New Roman" w:cs="Times New Roman"/>
        </w:rPr>
      </w:pPr>
      <w:hyperlink r:id="rId9" w:history="1">
        <w:r w:rsidR="00146AD9">
          <w:rPr>
            <w:rStyle w:val="Hyperlink"/>
            <w:rFonts w:ascii="Times New Roman" w:hAnsi="Times New Roman" w:cs="Times New Roman"/>
          </w:rPr>
          <w:t>ilze.kreicberga@fm.gov.lv</w:t>
        </w:r>
      </w:hyperlink>
    </w:p>
    <w:p w14:paraId="3261A806" w14:textId="77777777" w:rsidR="00146AD9" w:rsidRDefault="00146AD9" w:rsidP="00146AD9">
      <w:pPr>
        <w:ind w:firstLine="567"/>
        <w:rPr>
          <w:rFonts w:ascii="Times New Roman" w:hAnsi="Times New Roman" w:cs="Times New Roman"/>
          <w:sz w:val="20"/>
          <w:szCs w:val="20"/>
        </w:rPr>
      </w:pPr>
    </w:p>
    <w:p w14:paraId="6777AA1F" w14:textId="77777777" w:rsidR="00146AD9" w:rsidRDefault="00146AD9" w:rsidP="00146AD9">
      <w:pPr>
        <w:ind w:firstLine="567"/>
        <w:rPr>
          <w:rFonts w:ascii="Times New Roman" w:hAnsi="Times New Roman" w:cs="Times New Roman"/>
          <w:sz w:val="20"/>
          <w:szCs w:val="20"/>
        </w:rPr>
      </w:pPr>
      <w:r>
        <w:rPr>
          <w:rFonts w:ascii="Times New Roman" w:hAnsi="Times New Roman" w:cs="Times New Roman"/>
          <w:sz w:val="20"/>
          <w:szCs w:val="20"/>
        </w:rPr>
        <w:t>Vanaga 67083901</w:t>
      </w:r>
    </w:p>
    <w:p w14:paraId="74C64D16" w14:textId="77777777" w:rsidR="00146AD9" w:rsidRDefault="00A26107" w:rsidP="00146AD9">
      <w:pPr>
        <w:ind w:firstLine="567"/>
        <w:rPr>
          <w:rFonts w:ascii="Times New Roman" w:hAnsi="Times New Roman" w:cs="Times New Roman"/>
          <w:sz w:val="20"/>
          <w:szCs w:val="20"/>
        </w:rPr>
      </w:pPr>
      <w:hyperlink r:id="rId10" w:history="1">
        <w:r w:rsidR="00146AD9">
          <w:rPr>
            <w:rStyle w:val="Hyperlink"/>
            <w:rFonts w:ascii="Times New Roman" w:hAnsi="Times New Roman" w:cs="Times New Roman"/>
            <w:sz w:val="20"/>
            <w:szCs w:val="20"/>
          </w:rPr>
          <w:t>inese.vanaga@fm.gov.lv</w:t>
        </w:r>
      </w:hyperlink>
    </w:p>
    <w:p w14:paraId="76883F6C" w14:textId="77777777" w:rsidR="00146AD9" w:rsidRDefault="00146AD9" w:rsidP="00146AD9">
      <w:pPr>
        <w:ind w:firstLine="567"/>
        <w:rPr>
          <w:rFonts w:ascii="Times New Roman" w:hAnsi="Times New Roman" w:cs="Times New Roman"/>
          <w:sz w:val="20"/>
          <w:szCs w:val="20"/>
        </w:rPr>
      </w:pPr>
    </w:p>
    <w:p w14:paraId="63F60AF1" w14:textId="77777777" w:rsidR="00146AD9" w:rsidRDefault="00146AD9" w:rsidP="00146AD9">
      <w:pPr>
        <w:ind w:firstLine="567"/>
        <w:rPr>
          <w:rFonts w:ascii="Times New Roman" w:hAnsi="Times New Roman" w:cs="Times New Roman"/>
          <w:sz w:val="20"/>
          <w:szCs w:val="20"/>
        </w:rPr>
      </w:pPr>
      <w:r>
        <w:rPr>
          <w:rFonts w:ascii="Times New Roman" w:hAnsi="Times New Roman" w:cs="Times New Roman"/>
          <w:sz w:val="20"/>
          <w:szCs w:val="20"/>
        </w:rPr>
        <w:t>Hartmane 67095525</w:t>
      </w:r>
    </w:p>
    <w:p w14:paraId="710EB15D" w14:textId="77777777" w:rsidR="00146AD9" w:rsidRDefault="00A26107" w:rsidP="00146AD9">
      <w:pPr>
        <w:ind w:firstLine="567"/>
        <w:rPr>
          <w:rFonts w:ascii="Times New Roman" w:hAnsi="Times New Roman" w:cs="Times New Roman"/>
          <w:sz w:val="20"/>
          <w:szCs w:val="20"/>
        </w:rPr>
      </w:pPr>
      <w:hyperlink r:id="rId11" w:history="1">
        <w:r w:rsidR="00146AD9">
          <w:rPr>
            <w:rStyle w:val="Hyperlink"/>
            <w:rFonts w:ascii="Times New Roman" w:hAnsi="Times New Roman" w:cs="Times New Roman"/>
            <w:sz w:val="20"/>
            <w:szCs w:val="20"/>
          </w:rPr>
          <w:t>ella.hartmane@fm.gov.lv</w:t>
        </w:r>
      </w:hyperlink>
    </w:p>
    <w:p w14:paraId="5BB7399D" w14:textId="77777777" w:rsidR="00146AD9" w:rsidRDefault="00146AD9" w:rsidP="00146AD9">
      <w:pPr>
        <w:ind w:firstLine="567"/>
        <w:rPr>
          <w:rFonts w:ascii="Times New Roman" w:hAnsi="Times New Roman" w:cs="Times New Roman"/>
          <w:sz w:val="20"/>
          <w:szCs w:val="20"/>
        </w:rPr>
      </w:pPr>
    </w:p>
    <w:p w14:paraId="1F2A2D8E" w14:textId="77777777" w:rsidR="00146AD9" w:rsidRDefault="00146AD9" w:rsidP="00146AD9">
      <w:pPr>
        <w:ind w:left="567"/>
        <w:jc w:val="both"/>
        <w:rPr>
          <w:rFonts w:ascii="Times New Roman" w:hAnsi="Times New Roman" w:cs="Times New Roman"/>
          <w:sz w:val="20"/>
          <w:szCs w:val="20"/>
          <w:lang w:eastAsia="lv-LV"/>
        </w:rPr>
      </w:pPr>
      <w:r>
        <w:rPr>
          <w:rFonts w:ascii="Times New Roman" w:hAnsi="Times New Roman" w:cs="Times New Roman"/>
          <w:sz w:val="20"/>
          <w:szCs w:val="20"/>
          <w:lang w:eastAsia="lv-LV"/>
        </w:rPr>
        <w:t>Rudzīte 67120137</w:t>
      </w:r>
    </w:p>
    <w:p w14:paraId="30225B2E" w14:textId="77777777" w:rsidR="00146AD9" w:rsidRDefault="00A26107" w:rsidP="00146AD9">
      <w:pPr>
        <w:ind w:left="567"/>
        <w:jc w:val="both"/>
        <w:rPr>
          <w:rFonts w:ascii="Times New Roman" w:hAnsi="Times New Roman" w:cs="Times New Roman"/>
          <w:sz w:val="20"/>
          <w:szCs w:val="20"/>
          <w:lang w:eastAsia="lv-LV"/>
        </w:rPr>
      </w:pPr>
      <w:hyperlink r:id="rId12" w:history="1">
        <w:r w:rsidR="00146AD9">
          <w:rPr>
            <w:rStyle w:val="Hyperlink"/>
            <w:rFonts w:ascii="Times New Roman" w:hAnsi="Times New Roman" w:cs="Times New Roman"/>
            <w:sz w:val="20"/>
            <w:szCs w:val="20"/>
            <w:lang w:eastAsia="lv-LV"/>
          </w:rPr>
          <w:t>Inga.Rudzite@vid.gov.lv</w:t>
        </w:r>
      </w:hyperlink>
    </w:p>
    <w:p w14:paraId="3110CF33" w14:textId="77777777" w:rsidR="00146AD9" w:rsidRDefault="00146AD9" w:rsidP="00146AD9">
      <w:pPr>
        <w:ind w:left="567"/>
        <w:jc w:val="both"/>
        <w:rPr>
          <w:rFonts w:ascii="Times New Roman" w:hAnsi="Times New Roman" w:cs="Times New Roman"/>
          <w:sz w:val="20"/>
          <w:szCs w:val="20"/>
          <w:lang w:eastAsia="lv-LV"/>
        </w:rPr>
      </w:pPr>
    </w:p>
    <w:p w14:paraId="6CE9A90C" w14:textId="77777777" w:rsidR="00146AD9" w:rsidRDefault="00146AD9" w:rsidP="00146AD9">
      <w:pPr>
        <w:ind w:left="567"/>
        <w:jc w:val="both"/>
        <w:rPr>
          <w:rFonts w:ascii="Times New Roman" w:hAnsi="Times New Roman" w:cs="Times New Roman"/>
          <w:sz w:val="20"/>
          <w:szCs w:val="20"/>
          <w:lang w:eastAsia="lv-LV"/>
        </w:rPr>
      </w:pPr>
      <w:r>
        <w:rPr>
          <w:rFonts w:ascii="Times New Roman" w:hAnsi="Times New Roman" w:cs="Times New Roman"/>
          <w:sz w:val="20"/>
          <w:szCs w:val="20"/>
          <w:lang w:eastAsia="lv-LV"/>
        </w:rPr>
        <w:t>Peimane 25600849</w:t>
      </w:r>
    </w:p>
    <w:p w14:paraId="5B07232D" w14:textId="77777777" w:rsidR="00146AD9" w:rsidRDefault="00A26107" w:rsidP="00146AD9">
      <w:pPr>
        <w:ind w:left="567"/>
        <w:jc w:val="both"/>
        <w:rPr>
          <w:rFonts w:ascii="Times New Roman" w:hAnsi="Times New Roman" w:cs="Times New Roman"/>
          <w:sz w:val="20"/>
          <w:szCs w:val="20"/>
          <w:lang w:eastAsia="lv-LV"/>
        </w:rPr>
      </w:pPr>
      <w:hyperlink r:id="rId13" w:history="1">
        <w:r w:rsidR="00146AD9">
          <w:rPr>
            <w:rStyle w:val="Hyperlink"/>
            <w:rFonts w:ascii="Times New Roman" w:hAnsi="Times New Roman" w:cs="Times New Roman"/>
            <w:sz w:val="20"/>
            <w:szCs w:val="20"/>
            <w:lang w:eastAsia="lv-LV"/>
          </w:rPr>
          <w:t>Ilvija.Peimane@vni.lv</w:t>
        </w:r>
      </w:hyperlink>
    </w:p>
    <w:p w14:paraId="3BDD4BE4" w14:textId="77777777" w:rsidR="00146AD9" w:rsidRDefault="00146AD9" w:rsidP="00146AD9">
      <w:pPr>
        <w:ind w:left="567"/>
        <w:jc w:val="both"/>
        <w:rPr>
          <w:rFonts w:ascii="Times New Roman" w:hAnsi="Times New Roman" w:cs="Times New Roman"/>
          <w:sz w:val="20"/>
          <w:szCs w:val="20"/>
          <w:lang w:eastAsia="lv-LV"/>
        </w:rPr>
      </w:pPr>
    </w:p>
    <w:p w14:paraId="33B53BCD" w14:textId="77777777" w:rsidR="00146AD9" w:rsidRDefault="00146AD9" w:rsidP="00146AD9">
      <w:pPr>
        <w:ind w:left="567"/>
        <w:jc w:val="both"/>
        <w:rPr>
          <w:rFonts w:ascii="Times New Roman" w:hAnsi="Times New Roman" w:cs="Times New Roman"/>
          <w:sz w:val="20"/>
          <w:szCs w:val="20"/>
          <w:lang w:eastAsia="lv-LV"/>
        </w:rPr>
      </w:pPr>
      <w:r>
        <w:rPr>
          <w:rFonts w:ascii="Times New Roman" w:hAnsi="Times New Roman" w:cs="Times New Roman"/>
          <w:sz w:val="20"/>
          <w:szCs w:val="20"/>
          <w:lang w:eastAsia="lv-LV"/>
        </w:rPr>
        <w:t>Osipova 67095450</w:t>
      </w:r>
    </w:p>
    <w:p w14:paraId="4AC3F65F" w14:textId="77777777" w:rsidR="00146AD9" w:rsidRDefault="00A26107" w:rsidP="00146AD9">
      <w:pPr>
        <w:ind w:left="567"/>
        <w:jc w:val="both"/>
        <w:rPr>
          <w:rFonts w:ascii="Times New Roman" w:hAnsi="Times New Roman" w:cs="Times New Roman"/>
          <w:sz w:val="20"/>
          <w:szCs w:val="20"/>
          <w:lang w:eastAsia="lv-LV"/>
        </w:rPr>
      </w:pPr>
      <w:hyperlink r:id="rId14" w:history="1">
        <w:r w:rsidR="00146AD9">
          <w:rPr>
            <w:rStyle w:val="Hyperlink"/>
            <w:rFonts w:ascii="Times New Roman" w:hAnsi="Times New Roman" w:cs="Times New Roman"/>
            <w:sz w:val="20"/>
            <w:szCs w:val="20"/>
            <w:lang w:eastAsia="lv-LV"/>
          </w:rPr>
          <w:t>anzelika.osipova@fm.gov.lv</w:t>
        </w:r>
      </w:hyperlink>
    </w:p>
    <w:p w14:paraId="5ACF7E9D" w14:textId="77777777" w:rsidR="00146AD9" w:rsidRDefault="00146AD9" w:rsidP="00146AD9">
      <w:pPr>
        <w:ind w:left="567"/>
        <w:jc w:val="both"/>
        <w:rPr>
          <w:rFonts w:ascii="Times New Roman" w:hAnsi="Times New Roman" w:cs="Times New Roman"/>
          <w:sz w:val="20"/>
          <w:szCs w:val="20"/>
          <w:lang w:eastAsia="lv-LV"/>
        </w:rPr>
      </w:pPr>
    </w:p>
    <w:p w14:paraId="653940A6" w14:textId="77777777" w:rsidR="00146AD9" w:rsidRDefault="00146AD9" w:rsidP="00146AD9">
      <w:pPr>
        <w:ind w:left="567"/>
        <w:jc w:val="both"/>
        <w:rPr>
          <w:rFonts w:ascii="Times New Roman" w:hAnsi="Times New Roman" w:cs="Times New Roman"/>
          <w:sz w:val="20"/>
          <w:szCs w:val="20"/>
          <w:lang w:eastAsia="lv-LV"/>
        </w:rPr>
      </w:pPr>
      <w:r>
        <w:rPr>
          <w:rFonts w:ascii="Times New Roman" w:hAnsi="Times New Roman" w:cs="Times New Roman"/>
          <w:sz w:val="20"/>
          <w:szCs w:val="20"/>
          <w:lang w:eastAsia="lv-LV"/>
        </w:rPr>
        <w:t>Kūkoja 67774141</w:t>
      </w:r>
    </w:p>
    <w:p w14:paraId="6072048F" w14:textId="77777777" w:rsidR="00146AD9" w:rsidRDefault="00A26107" w:rsidP="00146AD9">
      <w:pPr>
        <w:ind w:left="567"/>
        <w:jc w:val="both"/>
        <w:rPr>
          <w:rFonts w:ascii="Times New Roman" w:hAnsi="Times New Roman" w:cs="Times New Roman"/>
          <w:sz w:val="20"/>
          <w:szCs w:val="20"/>
          <w:lang w:eastAsia="lv-LV"/>
        </w:rPr>
      </w:pPr>
      <w:hyperlink r:id="rId15" w:history="1">
        <w:r w:rsidR="00146AD9">
          <w:rPr>
            <w:rStyle w:val="Hyperlink"/>
            <w:rFonts w:ascii="Times New Roman" w:hAnsi="Times New Roman" w:cs="Times New Roman"/>
            <w:sz w:val="20"/>
            <w:szCs w:val="20"/>
            <w:lang w:eastAsia="lv-LV"/>
          </w:rPr>
          <w:t>Edite.kukoja@altum.lv</w:t>
        </w:r>
      </w:hyperlink>
    </w:p>
    <w:p w14:paraId="1125BD24" w14:textId="77777777" w:rsidR="00146AD9" w:rsidRDefault="00146AD9" w:rsidP="00146AD9"/>
    <w:p w14:paraId="6FD5C3B9" w14:textId="77777777" w:rsidR="00146AD9" w:rsidRDefault="00146AD9" w:rsidP="00146AD9"/>
    <w:p w14:paraId="76C29281" w14:textId="0849018B" w:rsidR="00146AD9" w:rsidRDefault="00146AD9" w:rsidP="00146AD9">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Ilze Āboliņa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vecākā eksperte</w:t>
      </w:r>
      <w:r>
        <w:rPr>
          <w:rFonts w:ascii="Franklin Gothic Book" w:hAnsi="Franklin Gothic Book"/>
          <w:color w:val="767573"/>
          <w:sz w:val="16"/>
          <w:szCs w:val="16"/>
        </w:rPr>
        <w:br/>
        <w:t>Tālr.: (+371) 67083963</w:t>
      </w:r>
      <w:r>
        <w:rPr>
          <w:rFonts w:ascii="Franklin Gothic Book" w:hAnsi="Franklin Gothic Book"/>
          <w:color w:val="767573"/>
          <w:sz w:val="16"/>
          <w:szCs w:val="16"/>
        </w:rPr>
        <w:br/>
        <w:t xml:space="preserve">E-pasts: </w:t>
      </w:r>
      <w:hyperlink r:id="rId16" w:history="1">
        <w:r>
          <w:rPr>
            <w:rStyle w:val="Hyperlink"/>
            <w:rFonts w:ascii="Franklin Gothic Book" w:hAnsi="Franklin Gothic Book"/>
            <w:color w:val="1F497D"/>
            <w:sz w:val="16"/>
            <w:szCs w:val="16"/>
          </w:rPr>
          <w:t>ilze.abolina@fm.gov.lv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17"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18"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41003542" wp14:editId="77033B29">
            <wp:extent cx="717550" cy="7239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717550" cy="723900"/>
                    </a:xfrm>
                    <a:prstGeom prst="rect">
                      <a:avLst/>
                    </a:prstGeom>
                    <a:noFill/>
                    <a:ln>
                      <a:noFill/>
                    </a:ln>
                  </pic:spPr>
                </pic:pic>
              </a:graphicData>
            </a:graphic>
          </wp:inline>
        </w:drawing>
      </w:r>
    </w:p>
    <w:p w14:paraId="217B5A46" w14:textId="77777777" w:rsidR="00146AD9" w:rsidRDefault="00146AD9" w:rsidP="00146AD9"/>
    <w:p w14:paraId="67A545EA" w14:textId="77777777" w:rsidR="005D361A" w:rsidRDefault="00A26107"/>
    <w:sectPr w:rsidR="005D361A" w:rsidSect="00146AD9">
      <w:headerReference w:type="even" r:id="rId21"/>
      <w:headerReference w:type="default" r:id="rId22"/>
      <w:footerReference w:type="even" r:id="rId23"/>
      <w:footerReference w:type="default" r:id="rId24"/>
      <w:headerReference w:type="first" r:id="rId25"/>
      <w:footerReference w:type="first" r:id="rId2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1C1C1" w14:textId="77777777" w:rsidR="00A26107" w:rsidRDefault="00A26107" w:rsidP="00146AD9">
      <w:r>
        <w:separator/>
      </w:r>
    </w:p>
  </w:endnote>
  <w:endnote w:type="continuationSeparator" w:id="0">
    <w:p w14:paraId="2B5DB65D" w14:textId="77777777" w:rsidR="00A26107" w:rsidRDefault="00A26107" w:rsidP="00146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D4CCE" w14:textId="77777777" w:rsidR="00146AD9" w:rsidRDefault="00146A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F47AA" w14:textId="77777777" w:rsidR="00146AD9" w:rsidRDefault="00146A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7505" w14:textId="77777777" w:rsidR="00146AD9" w:rsidRDefault="0014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972D0" w14:textId="77777777" w:rsidR="00A26107" w:rsidRDefault="00A26107" w:rsidP="00146AD9">
      <w:r>
        <w:separator/>
      </w:r>
    </w:p>
  </w:footnote>
  <w:footnote w:type="continuationSeparator" w:id="0">
    <w:p w14:paraId="0C817C2F" w14:textId="77777777" w:rsidR="00A26107" w:rsidRDefault="00A26107" w:rsidP="00146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25A14" w14:textId="77777777" w:rsidR="00146AD9" w:rsidRDefault="00146A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9FBC9" w14:textId="294C16DF" w:rsidR="00146AD9" w:rsidRPr="00146AD9" w:rsidRDefault="00146AD9" w:rsidP="00146AD9">
    <w:pPr>
      <w:pStyle w:val="Header"/>
      <w:jc w:val="right"/>
      <w:rPr>
        <w:rFonts w:ascii="Times New Roman" w:hAnsi="Times New Roman" w:cs="Times New Roman"/>
        <w:sz w:val="24"/>
        <w:szCs w:val="24"/>
      </w:rPr>
    </w:pPr>
    <w:r w:rsidRPr="00146AD9">
      <w:rPr>
        <w:rFonts w:ascii="Times New Roman" w:hAnsi="Times New Roman" w:cs="Times New Roman"/>
        <w:sz w:val="24"/>
        <w:szCs w:val="24"/>
      </w:rPr>
      <w:t>FM atzinums_28062021</w:t>
    </w:r>
  </w:p>
  <w:p w14:paraId="1F89F5C6" w14:textId="77777777" w:rsidR="00146AD9" w:rsidRDefault="00146A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7D1CA" w14:textId="77777777" w:rsidR="00146AD9" w:rsidRDefault="00146A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442F9B"/>
    <w:multiLevelType w:val="hybridMultilevel"/>
    <w:tmpl w:val="4800B2DA"/>
    <w:lvl w:ilvl="0" w:tplc="45B6E126">
      <w:start w:val="1"/>
      <w:numFmt w:val="decimal"/>
      <w:lvlText w:val="%1."/>
      <w:lvlJc w:val="left"/>
      <w:pPr>
        <w:ind w:left="1069" w:hanging="360"/>
      </w:pPr>
      <w:rPr>
        <w:rFonts w:eastAsia="Calibri"/>
        <w:b w:val="0"/>
        <w:bCs/>
      </w:rPr>
    </w:lvl>
    <w:lvl w:ilvl="1" w:tplc="157C7C76">
      <w:start w:val="1"/>
      <w:numFmt w:val="lowerLetter"/>
      <w:lvlText w:val="%2."/>
      <w:lvlJc w:val="left"/>
      <w:pPr>
        <w:ind w:left="1789" w:hanging="360"/>
      </w:pPr>
    </w:lvl>
    <w:lvl w:ilvl="2" w:tplc="2CBA2F9E">
      <w:start w:val="1"/>
      <w:numFmt w:val="lowerRoman"/>
      <w:lvlText w:val="%3."/>
      <w:lvlJc w:val="right"/>
      <w:pPr>
        <w:ind w:left="2509" w:hanging="180"/>
      </w:pPr>
    </w:lvl>
    <w:lvl w:ilvl="3" w:tplc="172EB9E6">
      <w:start w:val="1"/>
      <w:numFmt w:val="decimal"/>
      <w:lvlText w:val="%4."/>
      <w:lvlJc w:val="left"/>
      <w:pPr>
        <w:ind w:left="3229" w:hanging="360"/>
      </w:pPr>
    </w:lvl>
    <w:lvl w:ilvl="4" w:tplc="5EC2D026">
      <w:start w:val="1"/>
      <w:numFmt w:val="lowerLetter"/>
      <w:lvlText w:val="%5."/>
      <w:lvlJc w:val="left"/>
      <w:pPr>
        <w:ind w:left="3949" w:hanging="360"/>
      </w:pPr>
    </w:lvl>
    <w:lvl w:ilvl="5" w:tplc="CCDA49BC">
      <w:start w:val="1"/>
      <w:numFmt w:val="lowerRoman"/>
      <w:lvlText w:val="%6."/>
      <w:lvlJc w:val="right"/>
      <w:pPr>
        <w:ind w:left="4669" w:hanging="180"/>
      </w:pPr>
    </w:lvl>
    <w:lvl w:ilvl="6" w:tplc="35BE26C4">
      <w:start w:val="1"/>
      <w:numFmt w:val="decimal"/>
      <w:lvlText w:val="%7."/>
      <w:lvlJc w:val="left"/>
      <w:pPr>
        <w:ind w:left="5389" w:hanging="360"/>
      </w:pPr>
    </w:lvl>
    <w:lvl w:ilvl="7" w:tplc="9B1E76C4">
      <w:start w:val="1"/>
      <w:numFmt w:val="lowerLetter"/>
      <w:lvlText w:val="%8."/>
      <w:lvlJc w:val="left"/>
      <w:pPr>
        <w:ind w:left="6109" w:hanging="360"/>
      </w:pPr>
    </w:lvl>
    <w:lvl w:ilvl="8" w:tplc="B800903A">
      <w:start w:val="1"/>
      <w:numFmt w:val="lowerRoman"/>
      <w:lvlText w:val="%9."/>
      <w:lvlJc w:val="right"/>
      <w:pPr>
        <w:ind w:left="6829" w:hanging="180"/>
      </w:pPr>
    </w:lvl>
  </w:abstractNum>
  <w:abstractNum w:abstractNumId="1" w15:restartNumberingAfterBreak="0">
    <w:nsid w:val="7ECB14AD"/>
    <w:multiLevelType w:val="hybridMultilevel"/>
    <w:tmpl w:val="8B4AFD80"/>
    <w:lvl w:ilvl="0" w:tplc="12745E0C">
      <w:start w:val="1"/>
      <w:numFmt w:val="decimal"/>
      <w:lvlText w:val="%1."/>
      <w:lvlJc w:val="left"/>
      <w:pPr>
        <w:ind w:left="1494" w:hanging="360"/>
      </w:pPr>
      <w:rPr>
        <w:rFonts w:ascii="Arial" w:hAnsi="Arial" w:cs="Arial" w:hint="default"/>
        <w:color w:val="414142"/>
        <w:sz w:val="20"/>
      </w:rPr>
    </w:lvl>
    <w:lvl w:ilvl="1" w:tplc="04260019">
      <w:start w:val="1"/>
      <w:numFmt w:val="lowerLetter"/>
      <w:lvlText w:val="%2."/>
      <w:lvlJc w:val="left"/>
      <w:pPr>
        <w:ind w:left="2214" w:hanging="360"/>
      </w:pPr>
    </w:lvl>
    <w:lvl w:ilvl="2" w:tplc="0426001B">
      <w:start w:val="1"/>
      <w:numFmt w:val="lowerRoman"/>
      <w:lvlText w:val="%3."/>
      <w:lvlJc w:val="right"/>
      <w:pPr>
        <w:ind w:left="2934" w:hanging="180"/>
      </w:pPr>
    </w:lvl>
    <w:lvl w:ilvl="3" w:tplc="0426000F">
      <w:start w:val="1"/>
      <w:numFmt w:val="decimal"/>
      <w:lvlText w:val="%4."/>
      <w:lvlJc w:val="left"/>
      <w:pPr>
        <w:ind w:left="3654" w:hanging="360"/>
      </w:pPr>
    </w:lvl>
    <w:lvl w:ilvl="4" w:tplc="04260019">
      <w:start w:val="1"/>
      <w:numFmt w:val="lowerLetter"/>
      <w:lvlText w:val="%5."/>
      <w:lvlJc w:val="left"/>
      <w:pPr>
        <w:ind w:left="4374" w:hanging="360"/>
      </w:pPr>
    </w:lvl>
    <w:lvl w:ilvl="5" w:tplc="0426001B">
      <w:start w:val="1"/>
      <w:numFmt w:val="lowerRoman"/>
      <w:lvlText w:val="%6."/>
      <w:lvlJc w:val="right"/>
      <w:pPr>
        <w:ind w:left="5094" w:hanging="180"/>
      </w:pPr>
    </w:lvl>
    <w:lvl w:ilvl="6" w:tplc="0426000F">
      <w:start w:val="1"/>
      <w:numFmt w:val="decimal"/>
      <w:lvlText w:val="%7."/>
      <w:lvlJc w:val="left"/>
      <w:pPr>
        <w:ind w:left="5814" w:hanging="360"/>
      </w:pPr>
    </w:lvl>
    <w:lvl w:ilvl="7" w:tplc="04260019">
      <w:start w:val="1"/>
      <w:numFmt w:val="lowerLetter"/>
      <w:lvlText w:val="%8."/>
      <w:lvlJc w:val="left"/>
      <w:pPr>
        <w:ind w:left="6534" w:hanging="360"/>
      </w:pPr>
    </w:lvl>
    <w:lvl w:ilvl="8" w:tplc="0426001B">
      <w:start w:val="1"/>
      <w:numFmt w:val="lowerRoman"/>
      <w:lvlText w:val="%9."/>
      <w:lvlJc w:val="right"/>
      <w:pPr>
        <w:ind w:left="725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AD9"/>
    <w:rsid w:val="00146AD9"/>
    <w:rsid w:val="008D7476"/>
    <w:rsid w:val="00A26107"/>
    <w:rsid w:val="00D13D9B"/>
    <w:rsid w:val="00FE3C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55E9"/>
  <w15:chartTrackingRefBased/>
  <w15:docId w15:val="{E9111F4B-552C-462B-BD45-F333AEF6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AD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46AD9"/>
    <w:rPr>
      <w:color w:val="0563C1"/>
      <w:u w:val="single"/>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basedOn w:val="DefaultParagraphFont"/>
    <w:link w:val="ListParagraph"/>
    <w:uiPriority w:val="34"/>
    <w:locked/>
    <w:rsid w:val="00146AD9"/>
    <w:rPr>
      <w:rFonts w:ascii="Calibri" w:hAnsi="Calibri" w:cs="Calibri"/>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146AD9"/>
    <w:pPr>
      <w:ind w:left="720"/>
    </w:pPr>
  </w:style>
  <w:style w:type="paragraph" w:customStyle="1" w:styleId="xmsonormal">
    <w:name w:val="x_msonormal"/>
    <w:basedOn w:val="Normal"/>
    <w:rsid w:val="00146AD9"/>
    <w:rPr>
      <w:lang w:eastAsia="lv-LV"/>
    </w:rPr>
  </w:style>
  <w:style w:type="paragraph" w:customStyle="1" w:styleId="tv213">
    <w:name w:val="tv213"/>
    <w:basedOn w:val="Normal"/>
    <w:rsid w:val="00146AD9"/>
    <w:pPr>
      <w:spacing w:before="100" w:beforeAutospacing="1" w:after="100" w:afterAutospacing="1"/>
    </w:pPr>
    <w:rPr>
      <w:rFonts w:ascii="Times New Roman" w:hAnsi="Times New Roman" w:cs="Times New Roman"/>
      <w:sz w:val="24"/>
      <w:szCs w:val="24"/>
      <w:lang w:eastAsia="lv-LV"/>
    </w:rPr>
  </w:style>
  <w:style w:type="paragraph" w:styleId="Header">
    <w:name w:val="header"/>
    <w:basedOn w:val="Normal"/>
    <w:link w:val="HeaderChar"/>
    <w:uiPriority w:val="99"/>
    <w:unhideWhenUsed/>
    <w:rsid w:val="00146AD9"/>
    <w:pPr>
      <w:tabs>
        <w:tab w:val="center" w:pos="4153"/>
        <w:tab w:val="right" w:pos="8306"/>
      </w:tabs>
    </w:pPr>
  </w:style>
  <w:style w:type="character" w:customStyle="1" w:styleId="HeaderChar">
    <w:name w:val="Header Char"/>
    <w:basedOn w:val="DefaultParagraphFont"/>
    <w:link w:val="Header"/>
    <w:uiPriority w:val="99"/>
    <w:rsid w:val="00146AD9"/>
    <w:rPr>
      <w:rFonts w:ascii="Calibri" w:hAnsi="Calibri" w:cs="Calibri"/>
    </w:rPr>
  </w:style>
  <w:style w:type="paragraph" w:styleId="Footer">
    <w:name w:val="footer"/>
    <w:basedOn w:val="Normal"/>
    <w:link w:val="FooterChar"/>
    <w:uiPriority w:val="99"/>
    <w:unhideWhenUsed/>
    <w:rsid w:val="00146AD9"/>
    <w:pPr>
      <w:tabs>
        <w:tab w:val="center" w:pos="4153"/>
        <w:tab w:val="right" w:pos="8306"/>
      </w:tabs>
    </w:pPr>
  </w:style>
  <w:style w:type="character" w:customStyle="1" w:styleId="FooterChar">
    <w:name w:val="Footer Char"/>
    <w:basedOn w:val="DefaultParagraphFont"/>
    <w:link w:val="Footer"/>
    <w:uiPriority w:val="99"/>
    <w:rsid w:val="00146AD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862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kars.kupics@ast.lv" TargetMode="External"/><Relationship Id="rId13" Type="http://schemas.openxmlformats.org/officeDocument/2006/relationships/hyperlink" Target="mailto:Ilvija.Peimane@vni.lv" TargetMode="External"/><Relationship Id="rId18" Type="http://schemas.openxmlformats.org/officeDocument/2006/relationships/hyperlink" Target="file:///C:\Users\KarpovicaI\Downloads\pasts@fm.gov.lv"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likumi.lv/ta/id/270323-attistibas-finansu-institucijas-likums" TargetMode="External"/><Relationship Id="rId12" Type="http://schemas.openxmlformats.org/officeDocument/2006/relationships/hyperlink" Target="mailto:Inga.Rudzite@vid.gov.lv" TargetMode="External"/><Relationship Id="rId17" Type="http://schemas.openxmlformats.org/officeDocument/2006/relationships/hyperlink" Target="file:///C:\Users\KarpovicaI\Downloads\www.fm.gov.lv"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mailto:%20ilze.abolina@fm.gov.lv" TargetMode="External"/><Relationship Id="rId20" Type="http://schemas.openxmlformats.org/officeDocument/2006/relationships/image" Target="cid:image003.jpg@01D76C32.6DCFAB9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lla.hartmane@fm.gov.lv"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Edite.kukoja@altum.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inese.vanaga@fm.gov.lv"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ilze.kreicberga@fm.gov.lv" TargetMode="External"/><Relationship Id="rId14" Type="http://schemas.openxmlformats.org/officeDocument/2006/relationships/hyperlink" Target="mailto:anzelika.osipova@fm.gov.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16212</Words>
  <Characters>9241</Characters>
  <Application>Microsoft Office Word</Application>
  <DocSecurity>0</DocSecurity>
  <Lines>77</Lines>
  <Paragraphs>50</Paragraphs>
  <ScaleCrop>false</ScaleCrop>
  <Company/>
  <LinksUpToDate>false</LinksUpToDate>
  <CharactersWithSpaces>25403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Karpoviča</dc:creator>
  <cp:keywords/>
  <dc:description/>
  <cp:lastModifiedBy>Inese Karpoviča</cp:lastModifiedBy>
  <cp:revision>2</cp:revision>
  <dcterms:created xsi:type="dcterms:W3CDTF">2021-12-03T11:54:00Z</dcterms:created>
  <dcterms:modified xsi:type="dcterms:W3CDTF">2021-12-03T11:54:00Z</dcterms:modified>
</cp:coreProperties>
</file>