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23-TA-360: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Finanšu instrumentu tirgus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“Komisijas 2012. gada 29. jūnija deleģēto regulu Nr. 826/2012, kas papildina Eiropas Parlamenta un Padomes regulu Nr. 236/2012 attiecībā uz regulatīvajiem tehniskajiem standartiem informēšanas un informācijas publiskošanas prasībām par neto īsajām pozīcijām, Eiropas Vērtspapīru un tirgu iestādei sniedzamajām ziņām par neto īsajām pozīcijām un apgrozījuma aprēķināšanas metodi nolūkā noteikt atbrīvotās akcijas (turpmāk – Regula Nr. 826/2012)” dalībvalstu uzraudzības iestādēm jāizveido sistēma, kurā investori ziņo par īsajām vai nesegtajām pozīcijām. Turklāt Regula Nr. 826/2012 nosaka, ka dalībvalstu uzraudzības iestādēm ir jāapstiprina ziņojumu formas, kuru paraugi ir pievienoti Regulas Nr. 826/2012 pielikumā.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ierosinām veikt minētos grozījumus, lai Latvijas Banka varētu izstrādāt noteikumus par īsajām un nesegtajām pozīcijām.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Ierosinu papildināt 137.</w:t>
            </w:r>
            <w:r w:rsidR="00000000" w:rsidRPr="00000000" w:rsidDel="00000000">
              <w:rPr>
                <w:vertAlign w:val="superscript"/>
                <w:rtl w:val="0"/>
              </w:rPr>
              <w:t xml:space="preserve">2</w:t>
            </w:r>
            <w:r w:rsidR="00000000" w:rsidRPr="00000000" w:rsidDel="00000000">
              <w:rPr>
                <w:rtl w:val="0"/>
              </w:rPr>
              <w:t xml:space="preserve"> panta trešo daļu ar 3. punktu šādā redakcijā:"3) par kārtību, kādā juridiskās un fiziskās personas ziņo Latvijas Bankai par finanšu instrumentu īsajām vai nesegtajām pozīcijām, kā arī informācijas atklāšanas kārtību par īsajām pozīcijām akcijās."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7.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Papildināt 137.</w:t>
            </w:r>
            <w:r w:rsidR="00000000" w:rsidRPr="00000000" w:rsidDel="00000000">
              <w:rPr>
                <w:vertAlign w:val="superscript"/>
                <w:rtl w:val="0"/>
              </w:rPr>
              <w:t xml:space="preserve">2</w:t>
            </w:r>
            <w:r w:rsidR="00000000" w:rsidRPr="00000000" w:rsidDel="00000000">
              <w:rPr>
                <w:rtl w:val="0"/>
              </w:rPr>
              <w:t xml:space="preserve"> panta trešo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 kārtību, kādā juridiskās un fiziskās personas ziņo Latvijas Bankai par finanšu instrumentu īsajām vai nesegtajām pozīcijām, kā arī informācijas atklāšanas kārtību par īsajām pozīcijām akcijās.”.”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arī anotācijas 1.3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Tiek ierosināts veikt grozījumus likuma 100.</w:t>
            </w:r>
            <w:r w:rsidR="00000000" w:rsidRPr="00000000" w:rsidDel="00000000">
              <w:rPr>
                <w:vertAlign w:val="superscript"/>
                <w:rtl w:val="0"/>
              </w:rPr>
              <w:t xml:space="preserve">2</w:t>
            </w:r>
            <w:r w:rsidR="00000000" w:rsidRPr="00000000" w:rsidDel="00000000">
              <w:rPr>
                <w:rtl w:val="0"/>
              </w:rPr>
              <w:t xml:space="preserve"> pantā. Grozījums nepieciešams, jo šā brīža likuma 100.</w:t>
            </w:r>
            <w:r w:rsidR="00000000" w:rsidRPr="00000000" w:rsidDel="00000000">
              <w:rPr>
                <w:vertAlign w:val="superscript"/>
                <w:rtl w:val="0"/>
              </w:rPr>
              <w:t xml:space="preserve">2</w:t>
            </w:r>
            <w:r w:rsidR="00000000" w:rsidRPr="00000000" w:rsidDel="00000000">
              <w:rPr>
                <w:rtl w:val="0"/>
              </w:rPr>
              <w:t xml:space="preserve"> panta otrās daļas redakcija neaptver visus gadījumus, kad ir pamats izpildīt apturētā sistēmas dalībnieka pārveduma uzdevumus (piemēram, banka pārdod savus vērtspapīrus, lai iegūtu naudas līdzekļus kreditoru prasījumu apmierināšanai). Tiek rosināts izteikt 100.</w:t>
            </w:r>
            <w:r w:rsidR="00000000" w:rsidRPr="00000000" w:rsidDel="00000000">
              <w:rPr>
                <w:vertAlign w:val="superscript"/>
                <w:rtl w:val="0"/>
              </w:rPr>
              <w:t xml:space="preserve">2</w:t>
            </w:r>
            <w:r w:rsidR="00000000" w:rsidRPr="00000000" w:rsidDel="00000000">
              <w:rPr>
                <w:rtl w:val="0"/>
              </w:rPr>
              <w:t xml:space="preserve"> panta otro daļu jaunā redakcijā un papildināt 100.</w:t>
            </w:r>
            <w:r w:rsidR="00000000" w:rsidRPr="00000000" w:rsidDel="00000000">
              <w:rPr>
                <w:vertAlign w:val="superscript"/>
                <w:rtl w:val="0"/>
              </w:rPr>
              <w:t xml:space="preserve">2</w:t>
            </w:r>
            <w:r w:rsidR="00000000" w:rsidRPr="00000000" w:rsidDel="00000000">
              <w:rPr>
                <w:rtl w:val="0"/>
              </w:rPr>
              <w:t xml:space="preserve"> pantu ar trešo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centrālā vērtspapīru depozitārija dalībnieka darbība finanšu instrumentu norēķinu sistēmā ir apturēta šā panta pirmajā daļā minētajā gadījumā, centrālais vērtspapīru depozitārijs pabeidz to pārveduma rīkojumu norēķinus, kas ir spēkā saskaņā ar likumu "Par norēķinu galīgumu maksājumu un finanšu instrumentu norēķinu sistēmās". Pēc tam centrālais vērtspapīru depozitārijs finanšu instrumentu norēķinu sistēmā ir tiesīgs izpildīt šādus apturētā dalībnieka pārvedumus: 1) pārvedumi, kuru rezultātā samazinās šā dalībnieka klientu kontu atlikums;2) pārvedumi, kas nepieciešami, lai izpildītu vērtspapīru notikumus.(3) Līdz brīdim, kad atbilstoši maksātnespējas vai likvidācijas procesu regulējošajiem normatīvajiem aktiem  ir iecelts administrators vai likvidators, pārvedumu, kuri nav minēti šā panta otrajā daļā, izpildei nepieciešams saņemt attiecīgā dalībnieka uzraudzības institūcijas piekrišanu.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papildināts ar 3.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100.</w:t>
            </w:r>
            <w:r w:rsidR="00000000" w:rsidRPr="00000000" w:rsidDel="00000000">
              <w:rPr>
                <w:vertAlign w:val="superscript"/>
                <w:rtl w:val="0"/>
              </w:rPr>
              <w:t xml:space="preserve">2</w:t>
            </w:r>
            <w:r w:rsidR="00000000" w:rsidRPr="00000000" w:rsidDel="00000000">
              <w:rPr>
                <w:rtl w:val="0"/>
              </w:rPr>
              <w:t xml:space="preserve"> pantā: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Ja centrālā vērtspapīru depozitārija dalībnieka darbība finanšu instrumentu norēķinu sistēmā ir apturēta šā panta pirmajā daļā minētajā gadījumā, centrālais vērtspapīru depozitārijs pabeidz to pārveduma rīkojumu norēķinus, kas ir spēkā saskaņā ar likumu "Par norēķinu galīgumu maksājumu un finanšu instrumentu norēķinu sistēmās". Pēc tam centrālais vērtspapīru depozitārijs finanšu instrumentu norēķinu sistēmā ir tiesīgs izpildīt šādus apturētā dalībnieka pārvedumus: 1) pārvedumi, kuru rezultātā samazinās šā dalībnieka klientu kontu atlikums;2) pārvedumi, kas nepieciešami, lai izpildītu vērtspapīru notikumus.”;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trešo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Līdz brīdim, kad atbilstoši maksātnespējas vai likvidācijas procesu regulējošajiem normatīvajiem aktiem  ir iecelts administrators vai likvidators, pārvedumu, kuri nav minēti šā panta otrajā daļā, izpildei nepieciešams saņemt attiecīgā dalībnieka uzraudzības institūcijas piekrišanu.”.”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arī anotācijas 1.3 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Finanšu instrumentu tirgus likumā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(LFNA - 06.04.2023.)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Direktīvas mērķis ir noteikt izņēmumus no </w:t>
            </w:r>
            <w:r w:rsidR="00000000" w:rsidRPr="00000000" w:rsidDel="00000000">
              <w:rPr>
                <w:i w:val="1"/>
                <w:rtl w:val="0"/>
              </w:rPr>
              <w:t xml:space="preserve">research unbundling</w:t>
            </w:r>
            <w:r w:rsidR="00000000" w:rsidRPr="00000000" w:rsidDel="00000000">
              <w:rPr>
                <w:rtl w:val="0"/>
              </w:rPr>
              <w:t xml:space="preserve"> prasībām gadījumos, kad pētījums ir par SME segmenta emitentu. Piedāvājam precizēt šo aspektu, lai ir skaidrs, kā šie noteikumi korelējas ar vispārīgajiem </w:t>
            </w:r>
            <w:r w:rsidR="00000000" w:rsidRPr="00000000" w:rsidDel="00000000">
              <w:rPr>
                <w:i w:val="1"/>
                <w:rtl w:val="0"/>
              </w:rPr>
              <w:t xml:space="preserve">inducement</w:t>
            </w:r>
            <w:r w:rsidR="00000000" w:rsidRPr="00000000" w:rsidDel="00000000">
              <w:rPr>
                <w:rtl w:val="0"/>
              </w:rPr>
              <w:t xml:space="preserve"> un </w:t>
            </w:r>
            <w:r w:rsidR="00000000" w:rsidRPr="00000000" w:rsidDel="00000000">
              <w:rPr>
                <w:i w:val="1"/>
                <w:rtl w:val="0"/>
              </w:rPr>
              <w:t xml:space="preserve">research unbundling</w:t>
            </w:r>
            <w:r w:rsidR="00000000" w:rsidRPr="00000000" w:rsidDel="00000000">
              <w:rPr>
                <w:rtl w:val="0"/>
              </w:rPr>
              <w:t xml:space="preserve"> noteikumiem. Šobrīd no piedāvātas redakcijas tas nav saprotams. Iespējams, šos jaunos noteikumus būtu loģiskāk iekļaut likuma XII</w:t>
            </w:r>
            <w:r w:rsidR="00000000" w:rsidRPr="00000000" w:rsidDel="00000000">
              <w:rPr>
                <w:vertAlign w:val="superscript"/>
                <w:rtl w:val="0"/>
              </w:rPr>
              <w:t xml:space="preserve">6</w:t>
            </w:r>
            <w:r w:rsidR="00000000" w:rsidRPr="00000000" w:rsidDel="00000000">
              <w:rPr>
                <w:rtl w:val="0"/>
              </w:rPr>
              <w:t xml:space="preserve"> nodaļā.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r w:rsidR="00000000" w:rsidRPr="00000000" w:rsidDel="00000000">
              <w:rPr>
                <w:vertAlign w:val="superscript"/>
                <w:rtl w:val="0"/>
              </w:rPr>
              <w:t xml:space="preserve">7</w:t>
            </w:r>
            <w:r w:rsidR="00000000" w:rsidRPr="00000000" w:rsidDel="00000000">
              <w:rPr>
                <w:rtl w:val="0"/>
              </w:rPr>
              <w:t xml:space="preserve">) Ja ieguldījumu brokeru sabiedrība vai kredītiestāde, kura klientam sniedz portfeļa pārvaldības vai citu ieguldījumu pakalpojumu vai ieguldījumu blakuspakalpojumu, izmanto trešo personu pētījumus un ja šī trešā persona nodrošina arī rīkojumu izpildi, </w:t>
            </w:r>
            <w:r w:rsidR="00000000" w:rsidRPr="00000000" w:rsidDel="00000000">
              <w:rPr>
                <w:u w:val="single"/>
                <w:rtl w:val="0"/>
              </w:rPr>
              <w:t xml:space="preserve">uzskatāms, ka</w:t>
            </w:r>
            <w:r w:rsidR="00000000" w:rsidRPr="00000000" w:rsidDel="00000000">
              <w:rPr>
                <w:rtl w:val="0"/>
              </w:rPr>
              <w:t xml:space="preserve"> ieguldījumu brokeru sabiedrība vai kredītiestāde </w:t>
            </w:r>
            <w:r w:rsidR="00000000" w:rsidRPr="00000000" w:rsidDel="00000000">
              <w:rPr>
                <w:u w:val="single"/>
                <w:rtl w:val="0"/>
              </w:rPr>
              <w:t xml:space="preserve">ir ievērojusi šī likuma prasības attiecībā uz pamudinājumu saņemšanu saistībā ar pētījumiem un ir tiesīga saņemt pētījumus, 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attiecīgi precizēts.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jauno noteikumu iekļaušanu XII</w:t>
            </w:r>
            <w:r w:rsidR="00000000" w:rsidRPr="00000000" w:rsidDel="00000000">
              <w:rPr>
                <w:vertAlign w:val="superscript"/>
                <w:rtl w:val="0"/>
              </w:rPr>
              <w:t xml:space="preserve">6</w:t>
            </w:r>
            <w:r w:rsidR="00000000" w:rsidRPr="00000000" w:rsidDel="00000000">
              <w:rPr>
                <w:rtl w:val="0"/>
              </w:rPr>
              <w:t xml:space="preserve"> nodaļā uzsveram, ka papildinājums ir veikts Direktīvas Nr. 2014/65/ES 24. pantam pie vispārīgiem principiem, savukārt XII</w:t>
            </w:r>
            <w:r w:rsidR="00000000" w:rsidRPr="00000000" w:rsidDel="00000000">
              <w:rPr>
                <w:vertAlign w:val="superscript"/>
                <w:rtl w:val="0"/>
              </w:rPr>
              <w:t xml:space="preserve">6</w:t>
            </w:r>
            <w:r w:rsidR="00000000" w:rsidRPr="00000000" w:rsidDel="00000000">
              <w:rPr>
                <w:rtl w:val="0"/>
              </w:rPr>
              <w:t xml:space="preserve"> nodaļa par pamudinājumiem ieviesta Finanšu instrumentu tirgus likumā ar deleģēto Direktīvu Nr. 2017/593 un tajā nekādas izmaiņas nav veiktas.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Likums stājas spēkā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(LB - 06.04.2023.)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likumprojekta anotācijā sniegto informāciju, ka likumprojekts stāsies spēkā vispārējā kārtībā, ierosinām svītrot no likumprojekta atrunu par tā spēkā stāšanos.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atbilstoši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regulas nosaukumu un izteikt to nominatīvā: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"Komisijas 2016. gada 25. aprīļa </w:t>
            </w:r>
            <w:r w:rsidR="00000000" w:rsidRPr="00000000" w:rsidDel="00000000">
              <w:rPr>
                <w:b w:val="1"/>
                <w:u w:val="single"/>
                <w:rtl w:val="0"/>
              </w:rPr>
              <w:t xml:space="preserve">Deleģētajai regulai </w:t>
            </w:r>
            <w:r w:rsidR="00000000" w:rsidRPr="00000000" w:rsidDel="00000000">
              <w:rPr>
                <w:rtl w:val="0"/>
              </w:rPr>
              <w:t xml:space="preserve">(ES) 2017/565, ar ko papildina Eiropas Parlamenta un Padomes Direktīvu 2014/65/ES attiecībā uz ieguldījumu brokeru sabiedrību organizatoriskām prasībām un darbības nosacījumiem un jēdzienu definīcijām minētās direktīvas mērķiem, 32017R0565"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B kolonnā norādītos vārdus "Likumprojekts", nomainot tos pareizajā locījumā ("Likumprojekt</w:t>
            </w:r>
            <w:r w:rsidR="00000000" w:rsidRPr="00000000" w:rsidDel="00000000">
              <w:rPr>
                <w:u w:val="single"/>
                <w:rtl w:val="0"/>
              </w:rPr>
              <w:t xml:space="preserve">a</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atbilstoši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- 05.04.2023.)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6.2. sadaļu ar saiti uz sabiedrības līdzdalības rezultātiem.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daļēji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6.3 sadaļa jau paredz to, 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“Viedokļi par likumprojektu un tā anotāciju TAP portālā netika saņemti.”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Sabiedrības līdzdalības organizēšanas veidi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23-TA-360</w:t>
    </w:r>
    <w:r>
      <w:br/>
    </w:r>
    <w:r w:rsidR="00000000" w:rsidRPr="00000000" w:rsidDel="00000000">
      <w:rPr>
        <w:rtl w:val="0"/>
      </w:rPr>
      <w:t xml:space="preserve">27.04.2023. 16.00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23-TA-360</w:t>
    </w:r>
    <w:r>
      <w:br/>
    </w:r>
    <w:r w:rsidR="00000000" w:rsidRPr="00000000" w:rsidDel="00000000">
      <w:rPr>
        <w:rtl w:val="0"/>
      </w:rPr>
      <w:t xml:space="preserve">27.04.2023. 16.00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Izziņa_23-TA-360.docx</dc:title>
</cp:coreProperties>
</file>

<file path=docProps/custom.xml><?xml version="1.0" encoding="utf-8"?>
<Properties xmlns="http://schemas.openxmlformats.org/officeDocument/2006/custom-properties" xmlns:vt="http://schemas.openxmlformats.org/officeDocument/2006/docPropsVTypes"/>
</file>