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ievērojot, ka sadaļas 1. un 1.1.punktā jānorāda Eiropas sociālā fonda Plus finansējuma daļa, 2. un 2.1.punktā kopējais finansējuma apmērs, savukārt 3., 3.1., 5. un 5.1. punktā valsts budžeta finansējuma daļa. Vēršam uzmanību, ka sadaļas 2., 4. un 6.ailēs jānorāda finansējuma apmērs, kas ir paredzēts likumā “Par valsts budžetu 2025. gadam un budžeta ietvaru 2025., 2026. un 2027. gadam”, attiecīgi lūdzam sadaļas punktā “Cita informācija” iekļaut informāciju par ministriju un tās budžeta programmu, kurā ir ieplānots sadaļas tabulā norādītais finansējums. Turklāt lūdzam precizēt 6.punktā norādīto finansējuma sadalījumu pa gadiem, jo šobrīd to kopsumma neveido kopējo plānoto finansējuma apmēru, vienlaikus svītrojot tekstu par “bāzē pieprasīto”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labota ņemot vērā izteikto iebildumu un priekšlikumus neformālajā anotācijas 3. sadaļas saskaņošanā ar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anotācijas 3.sadaļas aizpildīšanu un atkārtoti lūdzam minētajā sadaļā sniegt informāciju par finansējuma samazinājumu, norādot tam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 sadaļa ir aizpildīta, norādot jauno finansējuma sadalījumu pa gadiem un piezīmēs norādīts pamatojums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2024. gada 25. jūnija noteikumu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(turpmāk – MK noteikumi Nr.413) grozījumu projekta 5. un 8.punktam finansējums 4.2.4.1. pasākuma "Atbalsts nozaru vajadzībās balstītai pieaugušo izglītībai" īstenošanai tiek samazināts par 2 315 837 euro, attiecīgi lūdzam aizpildīt anotācijas 3.sadaļu, atspoguļojot finansējuma samazinājumu un norādot tam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aizpildīta saskaņā ar saņemto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12 192 293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projektu iesniegumu atlasē ir iesniegti 13 projektu iesniegumi par kopējo publisko finansējumu 12 192 294,01 euro, t.sk. Eiropas sociālā fonda Plus 10 363 448,46 euro un valsts budžeta finansējumu 1 828 845,55 euro. Lūdzam precizēt punktu, nosakot pietiekamu finansējuma apmēru projektu īstenošanai. Iebildums attiecināms arī uz grozījumu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5. punktā labots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1 828 846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4.2.4.1. pasākuma "Atbalsts nozaru vajadzībās balstītai pieaugušo izglītībai" pirmās kārtas ieviešanā tiks nodrošināts saturiski savstarpēji papildinošs atbalsts, kā arī nepārklāšanās ar IZM atbildībā esošiem 4.2.4.1. pasākuma "Atbalsts nozaru vajadzībās balstītai pieaugušo izglītībai" otrās kārtas ietvaros paredzētajiem atbalsta pasākumiem darba devējiem - komersantiem, savu darbinieku prasmju pilnveidei saskaņā ar konkrētu uzņēmumu vajadzībām, t.i. to pasūtītām nodarbināto mācībām, lūdzam MK noteikumos noteikt, ka ja komersants saņem atbalstu 4.2.4.1.pasākuma otrās kārtas ietvaros, komersants kopā ar pieteikumu iesniedz finansējuma saņēmējam apliecinājumu, ka pasākuma pirmās kārtas ietvaros tā darbiniekam netiek paredzēts atbalsts tādām mācībām, kas apgūtas 4.2.4.1. pasākuma "Atbalsts nozaru vajadzībās balstītai pieaugušo izglītībai" otrās kārtas ietvaros. Attiecīgi lūdzam papildināt arī MK noteikuma projekta anotācijas sadaļu "Risinājuma apraksts" ar informāciju par 4.2.4.1. pasākuma pirmās kārt papildinātību un demarkācju ar citiem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noteikumu projekts papildināts ar 33.26. apakšpunktu atbilstoši priekšlikumā norādītajam ierosinājumam.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 19. panta</w:t>
            </w:r>
            <w:r w:rsidR="00000000" w:rsidRPr="00000000" w:rsidDel="00000000">
              <w:rPr>
                <w:rtl w:val="0"/>
              </w:rPr>
              <w:t xml:space="preserve"> 6. un 13. punktu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34. daļu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pret MKN projekta papildināšanu, iekļaujot atsauci uz Izglītības likuma 14. panta 34. daļā noteikto deleģējumu, kas paredz atbalsta pasākumus darba devējiem darbinieku papildu izglītošanā, tostarp kritērijus šāda atbalsta saņemšanai un tā īstenošanas kārtību. Vienlaikus jāņem vērā, ka minētais Izglītības likuma deleģējums nosaka vispārīgo piemērošanas kārtību, kas ir plašāka nekā ES kohēzijas politikas programmas 2021.–2027. gadam ietvaros noteiktais atbalsta piešķiršanas regulējums. Tāpēc MKN projekta saturs būtu papildināms ar vispārīgām piemērošanas normām atbilstoši Izglītības likumā noteiktajām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saskaņošanas procesā veiktajām sarunām ar Izglītības un zinātnes ministrijas par izteikto priekšlikumu,  atsauce uz Izglītības likumu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(Latvijas Vēstnesis, 2024, 125., 141.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3. punktā noteikto SAM 4.2.4.1. pasākuma 1. kārtas atbalsta mērķi, tostarp “sekmēt darbaspēka produktivitātes paaugstināšanu”, aicinām MK noteikumu projektā iekļaut attiecīgu nacionālo rādītāju, lai novērtētu SAM 4.2.4.1. 1. kārtas ieguldījuma ietekmi uz darbaspēka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mācību ieguldījumu atdeves mērķi un rādītāji jau ir iekļauti SAM 4.2.4.2. un SAM 6.1.1.5. pasākumu regulējumā (VIAA). Lai nodrošinātu vienotu pieeju publiskā atbalsta programmu pieaugušo izglītības pārvaldībai un uzraudzībai, aicinām Ekonomikas ministriju noteikt attiecīgus ieguldījumu atdeves mērķus un rādītājus arī savās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ņemot vērā MKN projektā noteikto minimālo pieejamo finansējumu (500 000 eiro) un tā attiecību pret šobrīd noteikto rādītāju – mācībās iesaistīto dalībnieku skaitu, kas ir tikai 49 mācību dalībnieki (kar ir ~ 10 000 euro uz vienu dalībnieku).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sniegto priekšlikumu, taču jauna nacionālā rādītāju noteikšanu nevirza, jo MKN 33. punktā ir uzskaitīti vairāki pienākumi, tostarp informācija, kas jāuzkrāj finansējuma saņēmējiem par mācībās iesaistītajiem darbiniekiem. Ekonomikas ministrijas ieskatā šo datu uzkrāšana un vēlāk - analīze, apstrāde, sniegs pilnvērtīgus datus un secinājumus par 4.2.4.1. pasākuma 1. kārtas ietekmi uz darba spēka produktivitātes paaugstināšanu, prasmju ieguvi, pilnveidi vai pārkvalifikāciju.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saskaņā ar Ministru kabineta noteikumu projektu līdz 2029. gada 31. decembrim mācību pasākumos plānots iesaistīt tikai 1000 nodarbinātas personas, kopumā paredzot attiecināmo finansējumu 12 192 294 euro apmērā. Tas nozīmē, ka vienas personas mācībām paredzētais ieguldījums ir aptuveni 12 tūkstoši euro, kas būtiski pārsniedz vidējās izmaksas profesionālās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ievērojamo publisko līdzekļu apjomu, kas plānots ieguldījumiem vienas personas mācībās, aicinām izvērtēt šo investīciju plānoto pievienoto vērtību un jau Ministru kabineta noteikumos noteikt skaidri izmērāmos atdeves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Ekonomikas ministrija izziņā ir norādījusi, ka atdeves novērtējums tiks veikts pēc projekta īstenošanas, kas arī ir būtiski, uzskatām, ka sasniedzamie mērķi un rezultatīvie rādītāji ir jādefinē jau ieguldījumu plānošanas posmā. Tas ir īpaši svarīgi, ņemot vērā 4.2.4.1. specifiskā atbalsta mērķa 1. kārtas noteikto uzdevumu – “sekmēt darbaspēka produktivitātes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to, ka Eiropas Sociālā fonda plus rādītāju uzskaite noteikta kā unikālās personas (https://komitejas.esfondi.lv/27/Koplietojamie%20dokumenti/Forms/AllItems.aspx?RootFolder=%2F27%2FKoplietojamie%20dokumenti%2FEK%5Fraditaju%5Fpases%5F%28Indicator%5FFiches%29&amp;FolderCTID=0x0120001A80129B2D13DE4496830D2929709778&amp;View=%7BE40746C3%2D0D4D%2D44), kas arī norādīts 4.2.4. SAM rādītāju metodoloģijas aprakstā, norādām, ka laikā, kad EM pārņēma šo pasākumu no IZM, rādītājs tika plānots kā neunikālās personas – 8352. Balstoties uz Eiropas Komisijas un Eiropas Sociālā fonda plus vadlīnijām, Ekonomikas ministrija ir veikusi pārrēķinu uz unikālo personu skaitu, pamatojoties, ka rādītājs EECO05 ir nodarbinātas personas, tostarp pašnodarbinātas personas. Lai iegūtu unikālo personu skaitu, neunikālo personu skaits 8 352 tika dalīts ar 4.2.4.1. pasākuma pirmajā kārtā noteikto 7 atbalstāmo nozaru skaitu, kurā uzņēmums savu nodarbināto var izglītot vairākās nozarēs, līdz ar to tika iegūts unikālo personu skaits. Ņemot vērā jaunākos Darbības programmas grozījumus un vidusmosma izvērtējumu, no 4.2.4.1. pasākuma I kārtas tika noņemts elastības finansējums, kas attiecīgi samazina programmai kopējo pieejamo finansējumu. Proporcionāli samazinātajam finansējumam, tiek samazināts arī sasniedzamais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pasākuma 1. kārtas ietvaros tāpat plānots apmācīt vismaz 8 000 neunikālās personas, taču ņemot vēra, ka šāda rādītāja uzskaite ESF+ netiek paredzēta, tiek norādītas tikai unikālās personas. Līdz ar to arī summa par vienu apmācāmo personu ir nevis 12 000 euro, bet gan aptuveni 1 500 euro. Papildus norādām, ka  pasākuma 1. kārtas ietvaros rādītāju uzskaite un sasniedzamais rādītājs ir saskaņots ar Eiropas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uztur viedokli, ka Ministru kabineta noteikumos ir jānosaka skaidri izmērāmie atdeves rādītāji, lai sekotu investīciju ietekmei uz produktivitātes pieaugumu, jo īpaši, ņemot vērā 4.2.4.1. specifiskā atbalsta mērķa 1. kārtas noteikto uzdevumu – “sekmēt darbaspēka produktivitātes paaugstināšanu”.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plāno veikt pasākuma novērtējumu 2030. gadā, kopā ar kopējo Darbības programmas noslēguma izvērtējumu, kura ietvaros plānots vērtēt arī kā ir pieaudzis atalgojuma apmērs. Līdz ar to, izvērtējuma veikšana neparedz papildus prasības finansējuma saņēmējiem, kas rādītu papildus birokrātisko slogu, noteikumu projektā nav nepieciešams iekļaut minēto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 19. panta</w:t>
            </w:r>
            <w:r w:rsidR="00000000" w:rsidRPr="00000000" w:rsidDel="00000000">
              <w:rPr>
                <w:rtl w:val="0"/>
              </w:rPr>
              <w:t xml:space="preserve"> 6. un 13.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investīciju efektivitāti un to ieguldījumu mērķtiecīgu virzību uz darbaspēka produktivitātes paaugstināšanu, Izglītības un zinātnes ministrija rosina Ministru kabineta noteikumos iekļaut skaidri formulētu investīciju mērķi, kā arī ar to tieši saistītus, izmērāmus atdeves rādītājus. Šāda pieeja ļautu sistemātiski sekot investīciju ietekmei uz produktivitātes pieaugumu, īpaši ņemot vērā 4.2.4.1. specifiskā atbalsta mērķa 1. kārtas uzdevumu – “sekmēt darbaspēka produktivitātes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efektīvs monitoringa un izvērtēšanas process nav iespējams bez iepriekš noteiktiem skaidriem mērķiem un atbilstošiem rādītājiem. Šādu rādītāju neesamība būtiski apgrūtina pārskatāmu novērtējumu par to, vai tiek sasniegti plānotie rezultāti, kā arī laikus identificēt iespējamās novirzes un nepieciešamos korekcijas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ir izskatījusi iespēju noteikt papildus rādītājus, taču ņemot vērā, ka programmas īstenošana jau ir uzsākta un finansējuma saņēmēji ir uzsākuši dokumentācijas sagatavošanu pēc esošās noteikumu redakcijas un tajā minētā mērķa un sasniedzamajiem rādītājiem, būtu nesamērīgi pieprasīt jaunu rādītāju sasniegšanu. Papildus tam Ekonomikas ministrija aktīvi vērtē un attiecīgi veic MKN grozījumus birokrātiskā sloga mazināšanai, tādēļ tiek uzskatīts, ka pēc MKN 413. 33. punktā minētajiem pienākumiem un uzkrājamās informācijas, tiks iesniegta pietiekama informācija, lai veiktu programmas izvērtējumu un iegūtu datus par apmācību programmas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1.2.sadaļu "Mērķis", norādot konkrētāk noteikumu projekta mērķi, jo šobrīd tas ir ļoti vispārīgs un neatspoguļo visus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mērķis precizēts, norādot konkrētākas lietas, kas ar MKN grozījumiem tiek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MK noteikumu projekta 21.punktu MK noteikumi Nr. 413  tiek papildināti ar jaunu 33.26. apakšpunktu, kas paredz nosacījumu, iesniegt apliecinājumu, ka 4.2.4.1. pasākuma pirmās kārtas ietvaros komersanta darbiniekam netiek paredzēts atbalsts tādām mācībām, kas apgūtas 4.2.4.1. pasākuma otrās kārtas ietvaros, kas nav tehniskas dabas grozījums, bet paredz novērsts dubultfinansējuma risku, lūdzam anotācijas1.3. sadaļā "Pašreizējā situācija, problēmas un risinājumi" aiz 12.punkta vārdus "Citi tehniskie precizējumi" aizstāt ar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par 33.26. pārcelts uz sadaļu pirms sadaļas "citi tehniskie pracizējumi".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jaunu 20. punktu, par izziņas pieprasīšanu no Sodu reģistra Iekšlietu ministrijas Informācijas centram, tad lūdzam papildināt anotāciju ar apraktu, par šo noteikumu projekta punktu, jo anotācijā jābūt pamatotiem visiem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izziņu no Sodu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11.punktā norādīts,  ka ar informatīvo pasākumu organizēšanu saistītās izmaksas, piem.kafijas pauzes, varēs attiecināt, ja informatīvais pasākums plānots visas darba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25.04.2025 saņēmusi EM viedokli, kur attiecībā uz šo jautājumu tika norādīts, ka "lai informatīvo pasākumu ietvaros organizēto kafijas paužu izmaksas tiktu uzskatītas par attiecināmām, pasākumu satura laikam ir jābūt vismaz 3 stundas".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skaidrojumu atbilstoši iepriekš sniegtajam viedoklim.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21.1.1. apakšpunkts precizēts, lai finansējuma saņēmēji varētu attiecināt informatīvo pasākumu un ar to organizēšanu saistītās izmaksas. Šajās izmaksās var attiecināt arī kafijas paužu izmaksas, ja informatīvais pasākums plānots vismaz 3h garumā.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ir sagatavots Eiropas Savienības kohēzijas politikas programmas 2020.-2027.gadam grozījumu Nr.3 priekšlikums, kas vēl nav formāli saskaņots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priekšlikumā norā'dito informāciju. Arī protokollēmumā ielikta informācija, ka, ja grozījumi netiek saskaņoti ar EK, Ekonomikas ministrija attiecīgi veiks grozījumus vai sniegs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"Risinājuma apraksts" ar informāciju, kā tiek noteikts viena projekta ietvaros iesaistāmais dalībnieku skaits pie maksimāli un minimāli pieejamā finansējuma apmēra.Ievērojot 4.2.4. pasākuma rādītāju pasē sniegto informāciju, ka viena komersanta izmaksas ir 26 003 EUR, attiecīgi  4.2.4.1. pasākuma 1. kārtā tiek pieņemts, ka neunikālo komersantu skaits, kas pieteiksies mācību programmai būs 389. Tāpat rādītāju pasē norādīts, ka uz katru komersantu plānoti 18 apmācāmo indivīdu.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noteikumiem izriet, ka situācijā, ja projekta iesniegums tiek iesniegts par maksimāli pieejamo finansējumu -  939 931 euro, tad mācībās iesaistāmas vismaz 92 personas, kas salīdzinājumā ar citām ES fondu investīciju programmām šķiet nesamērīgi mazs rādītājs un rada pārfinansējuma risku pret vienu mācībās iesaistāmo personu. Ievērojot minēto lūdzam sniegt skaidrojumu vai izmaksu aprēķinu par pasākumā iesaistāmo personu skaitu atbilstoši pasākumam pieejamā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atsevišķi grozījumu anotācija papildināta ar šādu informāciju netiek, jo jau pie Darbības programmas grozījumiem Nr. 2, šis tiks saskaņots ar Eiropas Komisiju un šajos MKN grozījumos rādītājs tiek precizēts tikai pēc Elastības finansējuma samazinājuma.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Ekonomikas ministrija norādīja pie cita priekšlikuma: " Balstoties uz to, ka Eiropas Sociālā fonda plus rādītāju uzskaite noteikta kā unikālās personas (https://komitejas.esfondi.lv/27/Koplietojamie%20dokumenti/Forms/AllItems.aspx?RootFolder=%2F27%2FKoplietojamie%20dokumenti%2FEK%5Fraditaju%5Fpases%5F%28Indicator%5FFiches%29&amp;FolderCTID=0x0120001A80129B2D13DE4496830D2929709778&amp;View=%7BE40746C3%2D0D4D%2D44), kas arī norādīts 4.2.4. SAM rādītāju metodoloģijas aprakstā, norādām, ka laikā, kad EM pārņēma šo pasākumu no IZM, rādītājs tika plānots kā neunikālās personas – 8352. Balstoties uz Eiropas Komisijas un Eiropas Sociālā fonda plus vadlīnijām, Ekonomikas ministrija ir veikusi pārrēķinu uz unikālo personu skaitu, pamatojoties, ka rādītājs EECO05 ir nodarbinātas personas, tostarp pašnodarbinātas personas. Lai iegūtu unikālo personu skaitu, neunikālo personu skaits 8 352 tika dalīts ar 4.2.4.1. pasākuma pirmajā kārtā noteikto 7 atbalstāmo nozaru skaitu, kurā uzņēmums savu nodarbināto var izglītot vairākās nozarēs, līdz ar to tika iegūts unikālo personu skaits. Ņemot vērā jaunākos Darbības programmas grozījumus un vidusmosma izvērtējumu, no 4.2.4.1. pasākuma I kārtas tika noņemts elastības finansējums, kas attiecīgi samazina programmai kopējo pieejamo finansējumu. Proporcionāli samazinātajam finansējumam, tiek samazināts arī sasniedzamais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pasākuma 1. kārtas ietvaros tāpat plānots apmācīt vismaz 8 000 neunikālās personas, taču ņemot vēra, ka šāda rādītāja uzskaite ESF+ netiek paredzēta, tiek norādītas tikai unikālās personas. Līdz ar to arī summa par vienu apmācāmo personu ir nevis 12 000 euro, bet gan aptuveni 1 500 euro. Papildus norādām, ka  pasākuma 1. kārtas ietvaros rādītāju uzskaite un sasniedzamais rādītājs ir saskaņots ar Eiropas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anotācijas 1.3. sadaļas "Pašreizējā situācija, problēmas un risinājumi" apakšsadaļā "Pašreizējā situācija" redakcionāli precizēt teikumus: "Šobrīd Centrālā finanšu un līgumu aģentūra (turpmāk - CFLA) ir finansējuma saņēmēju atlases procesā. Saņemti 13 projektu iesniegumi, kas šobrīd tiek vērtēti.",  jo šobrīd atlases posms ir noslēdzies un ar projektu iesniedzējiem ir noslēgti līgumi, t.i., projekti jau ir īstenošanas posmā.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noslēgti 13 līgumi ar finansējuma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ka šobrīd notiek projektu iesniegumu atlases process, un ir saņemti 13 projektu iesniegumi, kas šobrīd tiek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iespējamo ietekmi uz  norādītajiem projekta iesniegumiem, lai projekta iesniedzējiem būtu viennozīmīga izpratne par spēkā esošajiem un plānotajiem pasākuma īstenošanu regulējošajiem Ministru kabineta noteikumiem un vai norādītajos projekta iesniegumos būs nepieciešami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kā noteikumu projekts ietekmēs labuma guvējus.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iekļaujot informāciju par grozījumu ietekmi uz potenciālajiem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attiecībā uz MK noteikumu Nr.413 56.punktā noteikto nelikumīgo de minimis atbalsta atgūšanas normu, papildinot ar skaidrojumu, kāda ir plānota finansējuma saņēmēja rīcība ar no darba devēja atgūto nelikumīgo de minimis atbalstu, proti, vai atgūtie līdzekļi tiek atkātoti piešķirti atbalsta programmas ietvaros citam darba devējam, vai tiks atmaksāti sadarbības iestādei. Lūdzam izvērtēt arī MK noteikumu Nr.413 attiecīgā punkta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 papildināta ar informāciju, ka saskaņā ar MK noteikumu NR. 413 56. punktā minēto par noteiktā nelikumīgā de minimis atbalsta atgūšanu, nelikumīgi atgūtie līdzekļi tiek atkārtoti piešķirti atbalsta programmas ietvaros. Savukārt, gadījumā, ja šī atgūšana notiek, kad atbalsta programmas īstenošanas periods ir beidzies, tad par atgūto līdzekļu lemj Ekonomikas ministrija un saskaņo ar Ministru kabinetu.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iekļauto informāciju un ja nepieciešams MK noteikumu Nr.413 41.punktu, lai nodrošinātu skaidru izpratni par to, ka atbalsts šo noteikumu 21.1.2.1. un 21.1.2.3. apakšpunktā minēto ārpakalpojuma izmaksu segšanai nav uzskatāms par komercdarbības atbalstu finansējuma saņēmējam, ja tas nodrošina projekta vadību, piemērojot šo noteikumu 26.2. apakšpunktā un 26.3. apakšpunktā minēto nosacījumu, un nav mācību sniedzējs. Skaidrojam, ka atbalstu finansējuma saņēmējam var izslēgt tikai gadījumos, kad tas neveic saimniecisko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priekšlikumā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"Problēmas un risinājumi" 3.punktā šobrīd norādīts:"Lai finansējuma saņēmēji šo MKN prasību neuzskatītu kā obligātu prasību katrā iepirkumā,nepieciešams precizējums šajā MK noteikum Nr. 413 punktā.", t.i.nav norādīta atsauce uz MK noteikumu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 šo MK noteikumu prasību neuzskatītu kā obligātu prasību katrā iepirkumā,nepieciešams precizējums šo  MK noteikumu Nr. 413 33.4.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un 3.sadaļā ir sniegta informācija par elastības finansējuma pārdali 2 315 835 euro apmērā, savukārt atbilstoši noteikumu projekta 5.punktam finansējums 4.2.4.1. pasākuma īstenošanai tiek samazināts par 2 315 837 euro, turklāt šobrīd Ministru kabineta 2024.gada 25.jūnija noteikumu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5.punkts paredz elastības finansējumu 2 289 021 euro apmērā. Lūdzam novērst minēto nesakritību.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un 3. sadaļā precizēts, ka elastības finansējums, kas tiek noņemts ir 2 289 021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2025.gadā Finanšu ministrijas budžetā ir paredzēts finansējums 536 100 euro, tajā skaitā ESF+ finansējums 455 672 euro, valsts budžeta finansējums 80 428 euro, savukārt sadaļas 2.ailē, 1.1.apakšpunktā atspoguļots finansējums 455 685 euro apmērā un 3.1.apakšpunktā 80 415 euro apmērā. Lūdzam novērst minēto nesakritību.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informācija sadaļā "Cita informācija", salāgojot norādītos finansējuma sadalījumusm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sniegtā informācija, ka no Ekonomikas ministrijas 4.2.4.1. pasākuma 1.kārtas tika noņemts elastības finansējums  2 289 021 euro apmērā, savukārt atbilstoši noteikumu projekta 5.punktam finansējums minētā pasākuma īstenošanai tiek samazināts par 2 315 835 euro. Lūdzam novērst minēto nesakritību.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(izziņas 14.punkts) papildināt Ministru kabineta protokollēmumu ar jaunu punktu, kas nosaka atbildīgās iestādes rīcību gadījumā, ja Eiropas Komisija neatbalsta rādītāju samazinājumu 4.2.4.1.pasākuma “Atbalsts nozaru vajadzībās balstītai pieaugušo izglītībai” 1.kārtā.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saņemts pozitīvs Eiropas Komisijas lēmums par grozījumiem Eiropas Savienības kohēzijas politikas programmā 2021.-2027. gadam, Ekonomikas ministrijai sagatavot un Ekonomikas ministram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priekšlikumā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kas ir Latvijas Republikas Uzņēmumu reģistrā reģistrēts komersants, kurš atbilst sīkā (mikro), mazā un vidējā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 punktu vai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(tai skaitā tie, kas reģistrēti Latvijas Republikā reģistrēta ārvalstu komersanta filiālē), un pašnodarbināta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norādīts, ka finansējuma saņēmējs pirms katras atbalsta piešķiršanas divas darba dienas pēc darba devēja pieteikuma iesniegšanas  pārbauda vai darba devējam saskaņā ar VID administrēto nodokļu nodevu parādnieku datu bāzē pieejamo informāciju nav nodokļu vai nodevu parādu, tai skaitā valsts sociālās apdrošināšanas obligāto iemaksu parādu, t.sk. finansējuma saņēmējs nepiešķir atbalstu darba devējam, ja tiek konstatētas nodokļu parādsaistības virs noteiktā limita, bet MK noteikumu nenosaka šādas prasības, lūdzam papildināt esošo regulējumu, nosakot, ka darba devējam pieteikuma iesniegšanas dienā, saskaņā ar publiski pieejamo informāciju VID administrēto nodokļu (nodevu) parādnieku datubāzē,  nav nodokļu vai nodevu parādu, tai skaitā valsts sociālās apdrošināšanas obligāto iemaksu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6.sadaļā "Ar atbalsta piešķiršanu un saņemšanu saistītie nosacījumi" norādīto saistībā ar nodokļu pārbaudēm, t.i. nodokļu pārbaude veicama darba devēja pieteikuma iesniegšanas dienā vai pirms katras atbalsta piešķiršanas divas darba dienas pēc darba devēja pieteikuma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 gala labuma guvējs, kas ir Latvijas Republikas Uzņēmumu reģistrā reģistrēts komersants, kurš atbilst sīkā (mikro), mazā un vidējā komersanta statusam saskaņā ar Eiropas Komisijas 2014. gada 17. jūnija Regulas (ES) Nr. 651/2014, ar ko noteiktas atbalsta kategorijas atzīst par saderīgām ar iekšējo tirgu, piemērojot Līguma 107. un 108. pantu (turpmāk – Komisijas regula Nr. 651/2014), 2. panta 2. punktu vai lielā komersanta statusam saskaņā ar Komisijas regulas Nr. 651/2014 2. panta 24. punktu (tai skaitā tie, kas reģistrēti Latvijas Republikā reģistrēta ārvalstu komersanta filiālē), un pašnodarbināta persona, kam pieteikuma  iesniegšanas dienā saskaņā ar Valsts ieņēmumu dienesta administrēto nodokļu (nodevu) parādnieku datubāzē pieejamo informāciju nav nodokļu vai nodevu parādu, tai skaitā valsts sociālās apdrošināšanas obligāto iemaksu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kas ir Latvijas Republikas Uzņēmumu reģistrā reģistrēts komersants, kurš atbilst sīkā (mikro), mazā un vidējā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 punktu vai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(tai skaitā tie, kas reģistrēti Latvijas Republikā reģistrēta ārvalstu komersanta filiālē), un pašnodarbināta persona, kam atbalsta piešķiršanas dienā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12 192 293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1 828 844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projektu iesniegumu atlasē tika iesniegti un apstiprināti 13 projektu iesniegumi par kopējo publisko finansējumu 12 192 294,01 euro, t.sk. Eiropas sociālā fonda Plus 10 363 448,46 euro un valsts budžeta finansējumu 1 828 845,55 euro. Lūdzam precizēt punktu, nosakot pietiekamu finansējuma apmēru projektu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vēsturiskās redakcijas (6.0 Redakcija), kuru ietvaros jau tika precizēts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ietvaros pieejamais kopējais attiecināmais finansējums ir 12 192 295 euro, tai skaitā Eiropas sociālā fonda Plus finansējums – 10 363 449 euro  un valsts budžeta līdzfinansējums – 1 828 846 euro. Maksimālais ESF+ finansējuma apmērs nepārsniedz 85% no projekta kopējā attiecināmā publiskā finansējuma un nacionālais līdzfinansējums ir 15% no projektam plānotā kopējā attiecināmā publiskā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atgriezts iepriekšējā redakcijā, norādot finansējumu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1 828 846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1 828 846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5.punktā aizstāt vārdu “plānotais” ar vārdu “pieejamais”, ņemot vērā, ka pasākumam vairs netiek paredzēts elastības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1 828 846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12 192 294 </w:t>
            </w:r>
            <w:r w:rsidR="00000000" w:rsidRPr="00000000" w:rsidDel="00000000">
              <w:rPr>
                <w:i w:val="1"/>
                <w:rtl w:val="0"/>
              </w:rPr>
              <w:t xml:space="preserve">euro</w:t>
            </w:r>
            <w:r w:rsidR="00000000" w:rsidRPr="00000000" w:rsidDel="00000000">
              <w:rPr>
                <w:rtl w:val="0"/>
              </w:rPr>
              <w:t xml:space="preserve">, tai skaitā Eiropas sociālā fonda Plus finansējums – 10 363 448 </w:t>
            </w:r>
            <w:r w:rsidR="00000000" w:rsidRPr="00000000" w:rsidDel="00000000">
              <w:rPr>
                <w:i w:val="1"/>
                <w:rtl w:val="0"/>
              </w:rPr>
              <w:t xml:space="preserve">euro</w:t>
            </w:r>
            <w:r w:rsidR="00000000" w:rsidRPr="00000000" w:rsidDel="00000000">
              <w:rPr>
                <w:rtl w:val="0"/>
              </w:rPr>
              <w:t xml:space="preserve">  un valsts budžeta līdzfinansējums – 1 828 845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5.punktu, ņemot vēra, ka šobrīd norādītais finansējums nav pietiekošs projektu iesniegumu atlasē apstiprināto projektu kopsummai.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4.2.4.1. pasākuma “Atbalsts nozaru vajadzībās balstītai pieaugušo izglītībai” pirmās kārtas projektu iesniegumu atlasē ir apstiprināti 13 projektu iesniegumi par kopējo publisko finansējumu 12 192 294,01 euro, t.sk. Eiropas sociālā fonda Plus 10 363 448,46 euro un valsts budžeta finansējumu 1 828 845,55 euro. Lūdzam precizēt punktu, nosakot pietiekamu finansējuma apmēru projektu īstenošanai: kopējais pieejamais finansējums 12 192 295 euro, t.sk. ESF+ finansējums 10 363 449 euro un valsts budžeta līdzfinansējums 1 828 846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vārdu “plānotais” ar “pieejamais”, ņemot vērā, ka pasākumam vairs netiek paredzēts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w:t>
            </w:r>
            <w:r w:rsidR="00000000" w:rsidRPr="00000000" w:rsidDel="00000000">
              <w:rPr>
                <w:b w:val="1"/>
                <w:rtl w:val="0"/>
              </w:rPr>
              <w:t xml:space="preserve">pieejamais </w:t>
            </w:r>
            <w:r w:rsidR="00000000" w:rsidRPr="00000000" w:rsidDel="00000000">
              <w:rPr>
                <w:rtl w:val="0"/>
              </w:rPr>
              <w:t xml:space="preserve">kopējais attiecināmais finansējums ir </w:t>
            </w:r>
            <w:r w:rsidR="00000000" w:rsidRPr="00000000" w:rsidDel="00000000">
              <w:rPr>
                <w:b w:val="1"/>
                <w:rtl w:val="0"/>
              </w:rPr>
              <w:t xml:space="preserve">12 192 295 </w:t>
            </w:r>
            <w:r w:rsidR="00000000" w:rsidRPr="00000000" w:rsidDel="00000000">
              <w:rPr>
                <w:rtl w:val="0"/>
              </w:rPr>
              <w:t xml:space="preserve">euro, tai skaitā Eiropas sociālā fonda Plus finansējums – </w:t>
            </w:r>
            <w:r w:rsidR="00000000" w:rsidRPr="00000000" w:rsidDel="00000000">
              <w:rPr>
                <w:b w:val="1"/>
                <w:rtl w:val="0"/>
              </w:rPr>
              <w:t xml:space="preserve">10 363 449 </w:t>
            </w:r>
            <w:r w:rsidR="00000000" w:rsidRPr="00000000" w:rsidDel="00000000">
              <w:rPr>
                <w:rtl w:val="0"/>
              </w:rPr>
              <w:t xml:space="preserve">euro  un valsts budžeta līdzfinansējums – </w:t>
            </w:r>
            <w:r w:rsidR="00000000" w:rsidRPr="00000000" w:rsidDel="00000000">
              <w:rPr>
                <w:b w:val="1"/>
                <w:rtl w:val="0"/>
              </w:rPr>
              <w:t xml:space="preserve">1 828 846 </w:t>
            </w:r>
            <w:r w:rsidR="00000000" w:rsidRPr="00000000" w:rsidDel="00000000">
              <w:rPr>
                <w:rtl w:val="0"/>
              </w:rPr>
              <w:t xml:space="preserve">euro. Maksimālais ESF+ finansējuma apmērs nepārsniedz 85% no projekta kopējā attiecināmā publiskā finansējuma un nacionālais līdzfinansējums ir 15% no projektam plānotā kopējā attiecināmā publiskā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1 828 846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12 192 293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projektu iesniegumu atlasē ir iesniegti 13 projektu iesniegumi par kopējo publisko finansējumu 12 192 294,01 euro, t.sk. Eiropas sociālā fonda Plus 10 363 448,46 euro un valsts budžeta finansējumu 1 828 845,55 euro. Lūdzam precizēt punktu, nosakot pietiekamu finansējuma apmēru projektu īstenošanai. Iebildums attiecināms arī uz grozījumu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attiecināmais finansējums precizēts MK noteikumu 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1 828 846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12 192 293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Nr.413 5.punktu ar nosacījumu, ka maksimālais ESF+ finansējuma apmērs nepārsniedz 85% no projekta kopējā attiecināmā publiskā finansējuma un nacionālais līdzfinansējums ir 15% no projektam plānotā kopējā attiecināmā publiskā finansējuma, viennozīmīgai normas izpratnei.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413 5. punkts papildināts, saskaņā ar saņemto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1 828 846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12 192 293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ir svītrots plānotais elastības finansējums, t.i., noteikumu projekta 5. un 8.punktā pasākumam plānotais un pieejamais finansējums ir vienāds, rosinām apvienot 5. un 8.punktu, vienā punktā nosakot pasākumam plānoto un pieejamo finansējumu, kā arī ierobežojumus viena projekta finansējumam. Papildus rosinām svītrot noteikumu 9.punktu, jo, svītrojot elastības finansējumu, tas zaudējis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saņemto priekšlikumu, atstāti abi punkti, 8. punktā atstāts nosacījums par minimālajām un maksimālajām summām vienam projekta iesniegumam.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1 828 846 </w:t>
            </w:r>
            <w:r w:rsidR="00000000" w:rsidRPr="00000000" w:rsidDel="00000000">
              <w:rPr>
                <w:i w:val="1"/>
                <w:rtl w:val="0"/>
              </w:rPr>
              <w:t xml:space="preserve">euro</w:t>
            </w:r>
            <w:r w:rsidR="00000000" w:rsidRPr="00000000" w:rsidDel="00000000">
              <w:rPr>
                <w:rtl w:val="0"/>
              </w:rPr>
              <w:t xml:space="preserve">. Maksimālais ESF+ finansējuma apmērs nepārsniedz 85% no projekta kopējā attiecināmā publiskā finansējuma un nacionālais līdzfinansējums ir 15% no projektam plānotā kopējā attiecināmā publiskā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 pēc Eiropas Komisijas lēmuma par vidusposma pārskatu var ierosināt no 2026. gada 1. janvāra palielināt pasākuma pirmajai kārtai pieejamo kopējo attiecināmo finansējumu līdz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minētajam plānotajam kopējam finansējumam, paredzot jaunu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9.punktu, jo, svītrojot elastības finansējumu, tas zaudējis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 pēc Eiropas Komisijas lēmuma par vidusposma pārskatu var ierosināt no 2026. gada 1. janvāra palielināt pasākuma pirmajai kārtai pieejamo kopējo attiecināmo finansējumu līdz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minētajam plānotajam kopējam finansējumam, paredzot jaunu projektu iesniegumu atlases kārtu.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līdz 2029. gada 31. decembrim: nodarbināto personu skaits, tostarp pašnodarbinātas personas, – 1193;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Nr.413 10.1. apakšpunktā noteikto rādītāja vērtību atbilstoši ierosinātājiem grozījumiem Eiropas Savienības kohēzijas politikas programmā 2021.-2027.gadam,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Ministru kabineta protokollēmumu ar jaunu punktu, kas nosaka atbildīgās iestādes rīcību gadījumā, ja Eiropas Komisija neatbalsta rādītāju samazinājumu 4.2.4.1.pasākuma “Atbalsts nozaru vajadzībās balstītai pieaugušo izglītībai” 1.kārtā.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EM pieteiktajiem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līdz 2029. gada 31. decembrim: nodarbināto personu skaits, tostarp pašnodarbinātas personas, – 1000;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nacionālais rādītājs līdz 2029. gada 31. decembrim: ar grantiem atbalstīto neunikālo komersantu skaits – 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Nr.413 10.2. apakšpunktā noteikto rādītāja vērtību, ņemot vērā ierosinātos precizējumus ES kohēzijas politikas programmas 2021.-2027.gadam 4.2.4.specifiskā atbalsta mērķa rādītāju metodoloģiskajā aprakstā (t.s. rādītāju pasē). Vienlaikus, lūdzam izvērtēt nepieciešamību veikt precizējumus arī MK noteikumu Nr.413 14.punktā attiecībā uz sasniedzamo rādītāju 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apakšpunkts precizēts, proporcionāli norādot arī ar grantiem atbalstīto neunikālo komersantu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nacionālais rādītājs līdz 2029. gada 31. decembrim: ar grantiem atbalstīto neunikālo komersantu skaits – 389.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pasākuma pirmās kārtas ietvaros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 </w:t>
            </w:r>
            <w:r w:rsidR="00000000" w:rsidRPr="00000000" w:rsidDel="00000000">
              <w:rPr>
                <w:rtl w:val="0"/>
              </w:rPr>
              <w:t xml:space="preserve">2023/2831</w:t>
            </w:r>
            <w:r w:rsidR="00000000" w:rsidRPr="00000000" w:rsidDel="00000000">
              <w:rPr>
                <w:rtl w:val="0"/>
              </w:rPr>
              <w:t xml:space="preserve">), bet darba devējam – nefinanšu atbalsta (atbalsta apmērs pirms atbalsta piešķiršanas finanšu izteiksmē tiek izteikts līdzvērtīgi grantam) vai granta veidā atbilstoši Komisijas regulai </w:t>
            </w:r>
            <w:r w:rsidR="00000000" w:rsidRPr="00000000" w:rsidDel="00000000">
              <w:rPr>
                <w:rtl w:val="0"/>
              </w:rPr>
              <w:t xml:space="preserve">2023/2831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plašāku skaidrojumu ar piemēriem, ņemot vērā ierosinātos grozījumus MK noteikumu Nr.413 grozījumu projekta 5.punktā, kas paredz atbalstu darba devējam – nefinanšu atbalsta (atbalsta apmērs pirms atbalsta piešķiršanas finanšu izteiksmē tiek izteikts līdzvērtīgi grantam) vai granta veidā atbilstoši Komisijas regulai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ievietots plašāks skaidrojums par nefinanšu atbalstu, norādot, ka šāda atbalsta shēma paredz to, ka biedrības, pēc līguma noslēgšanas ar CFLA, nodrošina apmācību kursus gan tiešsaistē, gan klātienē, gan arī hibrīdformātā.  Gala labuma guvējs vēršas pie biedrības, norādot savas vajadzības nozares apmācībām. Biedrības nodrošina un organizē mācību procesu, kā arī sedz ar apmācībām saistītos izdevumus,ievērojot šajos MK noteikumos noteiktos ierobežojumus un atbalsta intensitāšu apmērus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pasākuma pirmās kārtas ietvaros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 </w:t>
            </w:r>
            <w:r w:rsidR="00000000" w:rsidRPr="00000000" w:rsidDel="00000000">
              <w:rPr>
                <w:rtl w:val="0"/>
              </w:rPr>
              <w:t xml:space="preserve">2023/2831</w:t>
            </w:r>
            <w:r w:rsidR="00000000" w:rsidRPr="00000000" w:rsidDel="00000000">
              <w:rPr>
                <w:rtl w:val="0"/>
              </w:rPr>
              <w:t xml:space="preserve">), bet darba devējam – nefinanšu atbalsta (atbalsta apmērs pirms atbalsta piešķiršanas finanšu izteiksmē tiek izteikts līdzvērtīgi grantam) vai granta veidā atbilstoši Komisijas regulai </w:t>
            </w:r>
            <w:r w:rsidR="00000000" w:rsidRPr="00000000" w:rsidDel="00000000">
              <w:rPr>
                <w:rtl w:val="0"/>
              </w:rPr>
              <w:t xml:space="preserve">2023/2831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iesniegumā rādītājus plāno proporcionāli Eiropas Sociālā fonda Plus un valsts budžeta līdzfinansējumam. Ja projekta iesniegums ir iesniegts par maksimāli pieejamo finansējumu 939 931 </w:t>
            </w:r>
            <w:r w:rsidR="00000000" w:rsidRPr="00000000" w:rsidDel="00000000">
              <w:rPr>
                <w:i w:val="1"/>
                <w:rtl w:val="0"/>
              </w:rPr>
              <w:t xml:space="preserve">euro</w:t>
            </w:r>
            <w:r w:rsidR="00000000" w:rsidRPr="00000000" w:rsidDel="00000000">
              <w:rPr>
                <w:rtl w:val="0"/>
              </w:rPr>
              <w:t xml:space="preserve">, tad sasniedzamais rādītājs – mācībās iesaistīto darbinieku skaits – ir vismaz 92. Ja projekta iesniegums ir iesniegts par minimāli pieejamo finansējumu 500 000 </w:t>
            </w:r>
            <w:r w:rsidR="00000000" w:rsidRPr="00000000" w:rsidDel="00000000">
              <w:rPr>
                <w:i w:val="1"/>
                <w:rtl w:val="0"/>
              </w:rPr>
              <w:t xml:space="preserve">euro</w:t>
            </w:r>
            <w:r w:rsidR="00000000" w:rsidRPr="00000000" w:rsidDel="00000000">
              <w:rPr>
                <w:rtl w:val="0"/>
              </w:rPr>
              <w:t xml:space="preserve">, tad sasniedzamais rādītājs – mācībās iesaistīto darbinieku skaits – ir vismaz 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 sadaļas "Risinājuma apraksta" pirmajā punktā sniegto informāciju, lūdzam MK noteikumu 14. punktā norādīkt, ka finansējuma saņēmēja mācībās iesaistīto dalībnieku skaits ir unikālās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iesniegumā rādītājus plāno proporcionāli Eiropas Sociālā fonda Plus un valsts budžeta līdzfinansējumam. Ja projekta iesniegums ir iesniegts par maksimāli pieejamo finansējumu 939 931 euro, tad sasniedzamais rādītājs – mācībās iesaistīto darbinieku skaits – ir vismaz 92 (unikālās personas). Ja projekta iesniegums ir iesniegts par minimāli pieejamo finansējumu 500 000 euro, tad sasniedzamais rādītājs – mācībās iesaistīto darbinieku skaits – ir vismaz 49 (unikālās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precizēt noteikumu projektu, jo Eiropas Komisijas vadlīnijas ESF+ atbalsta programmās paredz rādītājus uzskaitīt kā unikālās personas. Finansējuma saņēmēji ir informēti, ka rādītāji programmas ietvaros ir jāuzskaita kā unikālas vienības, papildus uzkrājot informāciju arī par neunikālajām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iesniegumā rādītājus plāno proporcionāli Eiropas Sociālā fonda Plus un valsts budžeta līdzfinansējumam. Ja projekta iesniegums ir iesniegts par maksimāli pieejamo finansējumu 939 931 </w:t>
            </w:r>
            <w:r w:rsidR="00000000" w:rsidRPr="00000000" w:rsidDel="00000000">
              <w:rPr>
                <w:i w:val="1"/>
                <w:rtl w:val="0"/>
              </w:rPr>
              <w:t xml:space="preserve">euro</w:t>
            </w:r>
            <w:r w:rsidR="00000000" w:rsidRPr="00000000" w:rsidDel="00000000">
              <w:rPr>
                <w:rtl w:val="0"/>
              </w:rPr>
              <w:t xml:space="preserve">, tad sasniedzamais rādītājs – mācībās iesaistīto darbinieku skaits – ir vismaz 92. Ja projekta iesniegums ir iesniegts par minimāli pieejamo finansējumu 500 000 </w:t>
            </w:r>
            <w:r w:rsidR="00000000" w:rsidRPr="00000000" w:rsidDel="00000000">
              <w:rPr>
                <w:i w:val="1"/>
                <w:rtl w:val="0"/>
              </w:rPr>
              <w:t xml:space="preserve">euro</w:t>
            </w:r>
            <w:r w:rsidR="00000000" w:rsidRPr="00000000" w:rsidDel="00000000">
              <w:rPr>
                <w:rtl w:val="0"/>
              </w:rPr>
              <w:t xml:space="preserve">, tad sasniedzamais rādītājs – mācībās iesaistīto darbinieku skaits – ir vismaz 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21.2.9. ar mācībām saistīto konsultāciju un apmācību organizēšanu saistītās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izvērstāku pamatojumu MK noteikumu Nr. 413  21.2.9.apakšpunktā plānotajam grozījumam, proti, ar apmācību organizēšanu saistīto izmaksu (kafijas pauzes) pamatojumu. Vēršam uzmanību, ka no piedāvātās redakcijas nav viennozīmīgi skaidrs, ka kafijas pauzes attiecināmas visas dienas apmācību nodarbību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 papildināta, skaidrojot, ka attiecībā uz gala labuma guvēju ir attiecināmas mācību projekta īstenošanas izmaksas, kas saistītas ar apmācībām izmantojamo telpu un iekārtu nomas izmaksām par apmācību laiku. Nepieciešams veikt šī apakšpunkta precizējumu, lai finansējuma saņēmējs varētu attiecināt arī citus ar apmācību organizēšanu saistītos izdevumus, piemēram, ja mācības notiek visas dienas garumā, pie to organizācijas izmaksām var nodrošināt kafijas pauzi.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21.2.9. ar mācībām saistīto konsultāciju un apmācību organizēšanu saistītās pakalpojumu izmaksas, t.sk. izmantojamo telpu un iekārtu nomas izmaksas par apmācību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darbības uzsāk no brīža, kad projekta iesniegums iesniegts vadības informācijas sistēmā. Darba devējam izmaksas ir attiecināmas no brīža, kad darba devējs iesniedzis pieteikumu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Nr.413 29.punktu ar izmaksu attiecināmības brīdi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punkts papildināts, norādot, ka izmaksas arī ir attiecināmas no brīža, kad projekta iesniegums iesniegts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saņēmējam izmaksas un darbību uzsākšana attiecināma no brīža, kad projekta iesniegums iesniegts vadības informācijas sistēmā. Darba devējam izmaksas ir attiecināmas no brīža, kad darba devējs iesniedzis pieteikumu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2025. gada 21. februārī Ministru prezidentes Evikas Siliņas paziņotās valdības 4x4 prioritātes 2025. gadam, ikgadējā ziņojumā Saeimai iekļauto apņemšanos 2025. gadā turpināt darbu pie birokrātijas mazināšanas pasākumiem ES fondu apguvē un publisko iepirkumu jomā, un 2024. gada 20. janvārī apstiprinātā Valsts rīcības plāna pasākuma 35.4. darbības rezultātu: pārskatītas un iespēju robežās mazinātas nacionālajos horizontālajos un specifisko atbalsta mērķu ieviešanu regulējošajos normatīvajos aktos noteiktās prasības, aicinās Ekonomikas ministriju pārskatīt 4.2.4.1.pasākuma 1.kārtas normatīvo regulējumu un pēc iespējas mazināt finansējuma saņēmējam administratīvo slogu un atteikties no prasībām, kas nav noteiktas kā obligātas saskaņā ar ES un Latvijas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šobrīd ir pārskatījusi 4.2.4.1.pasākuma 1.kārtas normatīvo regulējumu un secina, ka šobrīd, lai iegūtu nepieciešamos datus programmas novērtējumam un rezultātu analīzei, nav iespējams mazināt esošās prasības. Tomēr informējam, ka tam tiks sekots līdzi un, iespējams, pie turpmākajiem grozījumiem, tiks vērtēts, vai r iespējams svītrot kādas administratīvās prasības finansējuma saņēmējiem vai gala labuma guvējiem.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veikt pasākuma īstenošanai nepieciešamo preču un pakalpojumu iegādi saskaņā ar normatīvajiem aktiem publisko iepirkumu jomā, īstenojot atklātu, pārredzamu, nediskriminējošu, sociāli atbildīgu, ja attiecināms, un konkurenci neierobežojošu iepirkuma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33.4.apakšpunkta redakciju, lai būtu skaidrs, ka preču un pakalpojumu iegādi veic saskaņā ar normatīvajiem aktiem publisko iepirkumu jomā, īstenojot atklātu, pārredzamu, nediskriminējošu un konkurenci neierobežojošu iepirkuma procedūru, un ka atbalstāma ir sociāli atbildīga iepirkuma procedūra, proti, aicinām prasību par sociāli atbildīga iepirkuma organizēšanu izteikt jaunā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veikt pasākuma īstenošanai nepieciešamo preču un pakalpojumu iegādi saskaņā ar normatīvajiem aktiem publisko iepirkumu jomā, īstenojot atklātu, pārredzamu, nediskriminējošu un konkurenci neierobežojošu iepirkuma procedūru, vērtējot iespēju veikt sociāli atbildīgu iepirkumu.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 pārbaudīt un novērst interešu konflikta, korupcijas un krāpšanas risku pirms darba devēja pieteikuma izskatīšanas, kā arī visā darba devēja aktivitāšu īstenošanas laikā nodrošināt pārbaužu dokumentēšanu un apliecinājuma parakstīšanu par interešu konflikta neesību, ja nepieciešams, novēršot identificētos riskus vai konstatēto interešu konfliktu. Apliecinājumu finansējuma saņēmējs glabā saskaņā ar Eiropas Parlamenta un Padomes Regulas (ES, Euratom) 2024/2509 (2024. gada 23. septembris) par finanšu noteikumiem, ko piemēro Savienības vispārējam budžetam (pārstrādāta redakcija)  (turpmāk – Komisijas regula </w:t>
            </w:r>
            <w:r w:rsidR="00000000" w:rsidRPr="00000000" w:rsidDel="00000000">
              <w:rPr>
                <w:rtl w:val="0"/>
              </w:rPr>
              <w:t xml:space="preserve">2024/</w:t>
            </w:r>
            <w:r w:rsidR="00000000" w:rsidRPr="00000000" w:rsidDel="00000000">
              <w:rPr>
                <w:rtl w:val="0"/>
              </w:rPr>
              <w:t xml:space="preserve">2509) 132.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33.12. apakšpunktā atsauce uz Eiropas Parlamenta un Padomes 2024. gada 23. septembra Regulas (ES, Euratom) 2024/2509 par finanšu noteikumiem, ko piemēro Savienības vispārējam budžetam, (pārstrādātā redakcija) 132. pantu nav noformēta atbilstoši Ministru kabineta 2009. gada 3. februāra noteikumu Nr. 108 "Normatīvo aktu projektu sagatavošanas noteikumi" 170. un 171. punktu prasībām. Ņemot vērā minēto, lūdzam precizēt atsauci atbilstoši šīm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un novērst interešu konflikta, korupcijas un krāpšanas risku pirms darba devēja pieteikuma izskatīšanas, kā arī visā darba devēja aktivitāšu īstenošanas laikā nodrošināt pārbaužu dokumentēšanu un apliecinājuma parakstīšanu par interešu konflikta neesību, ja nepieciešams, novēršot identificētos riskus vai konstatēto interešu konfliktu. Apliecinājumu finansējuma saņēmējs glabā saskaņā ar Eiropas Parlamenta un Padomes 2024. gada 23. septembra Regulas (ES, Euratom) 2024/2509 par finanšu noteikumiem, ko piemēro Savienības vispārējam budžetam, (pārstrādātā redakcija) (turpmāk – Komisijas regula </w:t>
            </w:r>
            <w:r w:rsidR="00000000" w:rsidRPr="00000000" w:rsidDel="00000000">
              <w:rPr>
                <w:rtl w:val="0"/>
              </w:rPr>
              <w:t xml:space="preserve">2024/</w:t>
            </w:r>
            <w:r w:rsidR="00000000" w:rsidRPr="00000000" w:rsidDel="00000000">
              <w:rPr>
                <w:rtl w:val="0"/>
              </w:rPr>
              <w:t xml:space="preserve">2509) 132.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 pārbaudīt un novērst interešu konflikta, korupcijas un krāpšanas risku pirms darba devēja pieteikuma izskatīšanas, kā arī visā darba devēja aktivitāšu īstenošanas laikā nodrošināt pārbaužu dokumentēšanu un apliecinājuma parakstīšanu par interešu konflikta neesību, ja nepieciešams, novēršot identificētos riskus vai konstatēto interešu konfliktu. Apliecinājumu finansējuma saņēmējs glabā saskaņā ar Eiropas Parlamenta un Padomes 2024. gada 23. septembra Regulas (ES, Euratom) 2024/2509 par finanšu noteikumiem, ko piemēro Savienības vispārējam budžetam, (pārstrādātā redakcija) (turpmāk – Komisijas regula 2024/2509) 132.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 pārbaudīt un novērst interešu konflikta, korupcijas un krāpšanas risku pirms darba devēja pieteikuma izskatīšanas, kā arī visā darba devēja aktivitāšu īstenošanas laikā nodrošināt pārbaužu dokumentēšanu un apliecinājuma parakstīšanu par interešu konflikta neesību, ja nepieciešams, novēršot identificētos riskus vai konstatēto interešu konfliktu. Apliecinājumu finansējuma saņēmējs glabā atbilstoši Eiropas Parlamenta un Padomes Regula (ES, Euratom) 2024/2509 (2024. gada 23. septembris) par finanšu noteikumiem, ko piemēro Savienības vispārējam budžetam (pārstrādāta redakcija)  (turpmāk – Komisijas regula </w:t>
            </w:r>
            <w:r w:rsidR="00000000" w:rsidRPr="00000000" w:rsidDel="00000000">
              <w:rPr>
                <w:rtl w:val="0"/>
              </w:rPr>
              <w:t xml:space="preserve">2024/</w:t>
            </w:r>
            <w:r w:rsidR="00000000" w:rsidRPr="00000000" w:rsidDel="00000000">
              <w:rPr>
                <w:rtl w:val="0"/>
              </w:rPr>
              <w:t xml:space="preserve">2509),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33.12. apakšpunktā atsauce uz Eiropas Parlamenta un Padomes 2024. gada 23. septembra Regulas (ES, Euratom) 2024/2509 par finanšu noteikumiem, ko piemēro Savienības vispārējam budžetam, (pārstrādātā redakcija) 132. pantu nav noformēta atbilstoši Ministru kabineta 2009. gada 3. februāra noteikumu Nr. 108 "Normatīvo aktu projektu sagatavošanas noteikumi" 170. un 171. punktu prasībām. Ņemot vērā minēto, lūdzam precizēt atsauci atbilstoši šīm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 apakšpunkts precizēts, saskaņā ar saņemto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 pārbaudīt un novērst interešu konflikta, korupcijas un krāpšanas risku pirms darba devēja pieteikuma izskatīšanas, kā arī visā darba devēja aktivitāšu īstenošanas laikā nodrošināt pārbaužu dokumentēšanu un apliecinājuma parakstīšanu par interešu konflikta neesību, ja nepieciešams, novēršot identificētos riskus vai konstatēto interešu konfliktu. Apliecinājumu finansējuma saņēmējs glabā saskaņā ar Eiropas Parlamenta un Padomes 2024. gada 23. septembra Regulas (ES, Euratom) 2024/2509 par finanšu noteikumiem, ko piemēro Savienības vispārējam budžetam, (pārstrādātā redakcija) (turpmāk – Komisijas regula 2024/2509) 132.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33.18. elektroniski parakstīt objektivitātes, konfidencialitātes un interešu konflikta neesības apliecinājumu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 Šis pienākums attiecas uz visiem, kas iesaistās lēmuma pieņemšanas procesā par komercdarbības atbalsta piešķiršanu darba devējam. Apliecinājumu paraksta pirms pieteikuma izskatīšanas. Apliecinājumu finansējuma saņēmējs glabā atbilstoši Komisijas regulas </w:t>
            </w:r>
            <w:r w:rsidR="00000000" w:rsidRPr="00000000" w:rsidDel="00000000">
              <w:rPr>
                <w:rtl w:val="0"/>
              </w:rPr>
              <w:t xml:space="preserve">20</w:t>
            </w:r>
            <w:r w:rsidR="00000000" w:rsidRPr="00000000" w:rsidDel="00000000">
              <w:rPr>
                <w:rtl w:val="0"/>
              </w:rPr>
              <w:t xml:space="preserve">24/2509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vienmēr ir pieejama iespēja parakstīt dokumentus elektroniski. Nevajadzētu būt pretrunai ar valstī noteiktajiem dokumentu noformēšanas un parakstīšanas principiem un kārtību, tāpēc jānodrošina iespēja parakstīt arī papīra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33.18. apakšpunkts precizēts saskaņā ar saņemto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33.18. parakstīt objektivitātes, konfidencialitātes un interešu konflikta neesības apliecinājumu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 Šis pienākums attiecas uz visiem, kas iesaistās lēmuma pieņemšanas procesā par komercdarbības atbalsta piešķiršanu darba devējam. Apliecinājumu paraksta pirms pieteikuma izskatīšanas. Apliecinājumu finansējuma saņēmējs glabā atbilstoši Komisijas regulas </w:t>
            </w:r>
            <w:r w:rsidR="00000000" w:rsidRPr="00000000" w:rsidDel="00000000">
              <w:rPr>
                <w:rtl w:val="0"/>
              </w:rPr>
              <w:t xml:space="preserve">20</w:t>
            </w:r>
            <w:r w:rsidR="00000000" w:rsidRPr="00000000" w:rsidDel="00000000">
              <w:rPr>
                <w:rtl w:val="0"/>
              </w:rPr>
              <w:t xml:space="preserve">24/2509 132.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pārliecināties, ka uz darba devēju nav attiecināmi </w:t>
            </w:r>
            <w:r w:rsidR="00000000" w:rsidRPr="00000000" w:rsidDel="00000000">
              <w:rPr>
                <w:rtl w:val="0"/>
              </w:rPr>
              <w:t xml:space="preserve">Eiropas Savienības fondu 2021.–2027. gada plānošanas perioda vadības likuma 22. pantā</w:t>
            </w:r>
            <w:r w:rsidR="00000000" w:rsidRPr="00000000" w:rsidDel="00000000">
              <w:rPr>
                <w:rtl w:val="0"/>
              </w:rPr>
              <w:t xml:space="preserve"> noteiktie izslēgšanas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informāciju, ka ir izveidojusies situācija, ka finansējuma saņēmējiem nav iespējams saņemt izziņas no Sodu reģistra Iekšlietu ministrijas Informācijas centra, lūdzam precizēt noteikumu 33.25. apakšpunktu, lai nodrošinātu informācijas saņemšanu atbilstoši panāktajai vienošanās starp EM un Iekšlietu ministrijas Informācijas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kārtību, kādā Eiropas Savienības fondu vadībā iesaistītās institūcijas nodrošina šo fondu ieviešanu 2021.–2027. gada plānošanas periodā pārliecināties, ka uz darba devēju nav attiecināmi Eiropas Savienības fondu 2021.–2027. gada plānošanas perioda vadības likuma 22. pantā noteiktie izslēgšanas nosacījumi, tai skaitā pieprasot ziņu no Sodu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saskaņā ar kārtību, kādā Eiropas Savienības fondu vadībā iesaistītās institūcijas nodrošina šo fondu ieviešanu 2021.–2027. gada plānošanas periodā, pārliecināties, ka uz darba devēju nav attiecināmi </w:t>
            </w:r>
            <w:r w:rsidR="00000000" w:rsidRPr="00000000" w:rsidDel="00000000">
              <w:rPr>
                <w:rtl w:val="0"/>
              </w:rPr>
              <w:t xml:space="preserve">Eiropas Savienības fondu 2021.–2027. gada plānošanas perioda vadības likuma 22. pantā</w:t>
            </w:r>
            <w:r w:rsidR="00000000" w:rsidRPr="00000000" w:rsidDel="00000000">
              <w:rPr>
                <w:rtl w:val="0"/>
              </w:rPr>
              <w:t xml:space="preserve"> noteiktie izslēgšanas nosacījumi, tai skaitā pieprasot izziņu no Sodu reģistra Iekšlietu ministrijas Informācijas centram;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Darba devējs, ievērojot Komisijas regulas </w:t>
            </w:r>
            <w:r w:rsidR="00000000" w:rsidRPr="00000000" w:rsidDel="00000000">
              <w:rPr>
                <w:rtl w:val="0"/>
              </w:rPr>
              <w:t xml:space="preserve">2023/2831</w:t>
            </w:r>
            <w:r w:rsidR="00000000" w:rsidRPr="00000000" w:rsidDel="00000000">
              <w:rPr>
                <w:rtl w:val="0"/>
              </w:rPr>
              <w:t xml:space="preserve"> 5. panta 1., 2. un 3.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līdz Komisijas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valsts atbalstu, tai skaitā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w:t>
            </w:r>
            <w:r w:rsidR="00000000" w:rsidRPr="00000000" w:rsidDel="00000000">
              <w:rPr>
                <w:rtl w:val="0"/>
              </w:rPr>
              <w:t xml:space="preserve">s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korekti piemērotas Komisijas 2023. gada 13. decembra Regulas (ES) 2023/2831 par Līguma par Eiropas Savienības darbību 107. un 108. panta piemērošanu de minimis atbalstam (turpmāk – Komisijas regula 2023/2831) 5.pantā noteiktās prasības par de minimis atbalsta kumulāciju un tās būtu attiecināmas arī uz finansējuma saņēmēju, ja tam tiek piešķirts de minimis atbalsts pasākuma ietvaros, lūdzam ar atbilstošu normu papildināt noteikumu projektu. Papildus, lūdzam papildināt noteikumu projektu ar nosacījumu par informācijas iesniegšanu atbalsta sniedzējam, ja tiek plānota atbalsta kumulācija.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Darba devējs un finansējuma saņēmējs, ievērojot Komisijas regulas </w:t>
            </w:r>
            <w:r w:rsidR="00000000" w:rsidRPr="00000000" w:rsidDel="00000000">
              <w:rPr>
                <w:rtl w:val="0"/>
              </w:rPr>
              <w:t xml:space="preserve">2023/2831</w:t>
            </w:r>
            <w:r w:rsidR="00000000" w:rsidRPr="00000000" w:rsidDel="00000000">
              <w:rPr>
                <w:rtl w:val="0"/>
              </w:rPr>
              <w:t xml:space="preserve"> 5. panta 1., 2. un 3.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līdz Komisijas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valsts atbalstu, tai skaitā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w:t>
            </w:r>
            <w:r w:rsidR="00000000" w:rsidRPr="00000000" w:rsidDel="00000000">
              <w:rPr>
                <w:rtl w:val="0"/>
              </w:rPr>
              <w:t xml:space="preserve">s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 Ja darba devējs plāno atbalsta kumulāciju, par to nepieciešams informēt atbalsta 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darba devējs un finansējuma saņēmējs darbojas gan atbalstāmajā nozarē, gan kādā no Komisijas regulas </w:t>
            </w:r>
            <w:r w:rsidR="00000000" w:rsidRPr="00000000" w:rsidDel="00000000">
              <w:rPr>
                <w:rtl w:val="0"/>
              </w:rPr>
              <w:t xml:space="preserve">2023/2831</w:t>
            </w:r>
            <w:r w:rsidR="00000000" w:rsidRPr="00000000" w:rsidDel="00000000">
              <w:rPr>
                <w:rtl w:val="0"/>
              </w:rPr>
              <w:t xml:space="preserve"> 1. panta 1. punktā minētajām neatbalstāmajām nozarēm, atbalstu drīkst piešķirt tikai tad, ja tiek ievēroti Komisijas regulas </w:t>
            </w:r>
            <w:r w:rsidR="00000000" w:rsidRPr="00000000" w:rsidDel="00000000">
              <w:rPr>
                <w:rtl w:val="0"/>
              </w:rPr>
              <w:t xml:space="preserve">2023/2831</w:t>
            </w:r>
            <w:r w:rsidR="00000000" w:rsidRPr="00000000" w:rsidDel="00000000">
              <w:rPr>
                <w:rtl w:val="0"/>
              </w:rPr>
              <w:t xml:space="preserve"> 1. panta 2. punkta nosacījumi. Ja darba devējs un finansējuma saņēmējs veic darbības, kas minētas Komisijas regulas </w:t>
            </w:r>
            <w:r w:rsidR="00000000" w:rsidRPr="00000000" w:rsidDel="00000000">
              <w:rPr>
                <w:rtl w:val="0"/>
              </w:rPr>
              <w:t xml:space="preserve">2023/2831</w:t>
            </w:r>
            <w:r w:rsidR="00000000" w:rsidRPr="00000000" w:rsidDel="00000000">
              <w:rPr>
                <w:rtl w:val="0"/>
              </w:rPr>
              <w:t xml:space="preserve"> 1. panta 1. punkta "e" un "f" apakšpunktā, atbalstu piešķirt nedrīkst.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saskaņā ar Komisijas regulas 2023/2831 netiek piešķirts Komisijas regulas 2023/2831 1. panta 1. punktā minētajām neatbalstāmajām nozarēm un darbībām, aicinām precizēt noteikumu projekta 58.punkta redakciju, piemēram, šādā redakcijā: “De minimis atbalstu saskaņā ar Komisijas regulu Nr.2023/2831 finansējuma saņēmējam un darba devējam piešķir, ievērojot Komisijas regulas Nr.2023/2831 1.panta 1.punktā minētos nozaru un darbību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darba devējs vai finansējuma saņēmējs vienlaikus darbojas vienā vai vairākās Komisijas regulas Nr.2023/2831 1.panta 1.punkta a), b), c) un d) apakšpunktā minētajās nozarēs, atbalstu drīkst piešķirt tikai tad, ja darba devējs vai finansējuma saņēmējs nodrošina šo nozaru darbību vai uzskaites nodalīšanu, lai saskaņā ar Komisijas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saskaņā ar izteikto priekšlikumu un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De minimis atbalstu saskaņā ar Komisijas regulu Nr.2023/2831 finansējuma saņēmējam un darba devējam piešķir, ievērojot Komisijas regulas Nr.2023/2831 1.panta 1.punktā minētos nozaru un darbību ierobežojumus. Ja darba devējs vai finansējuma saņēmējs vienlaikus darbojas vienā vai vairākās Komisijas regulas Nr.2023/2831 1.panta 1.punkta a), b), c) un d) apakšpunktā minētajās nozarēs, atbalstu drīkst piešķirt tikai tad, ja darba devējs vai finansējuma saņēmējs nodrošina šo nozaru darbību vai uzskaites nodalīšanu, lai saskaņā ar Komisijas regulas Nr.2023/2831 1.panta 2.punktu darbības izslēgtajās nozarēs negūst labumu no de minimis atbalsta, ko piešķir saskaņā ar šiem noteikumiem.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w:t>
    </w:r>
    <w:r>
      <w:br/>
    </w:r>
    <w:r w:rsidR="00000000" w:rsidRPr="00000000" w:rsidDel="00000000">
      <w:rPr>
        <w:rtl w:val="0"/>
      </w:rPr>
      <w:t xml:space="preserve">06.06.2025. 13.31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w:t>
    </w:r>
    <w:r>
      <w:br/>
    </w:r>
    <w:r w:rsidR="00000000" w:rsidRPr="00000000" w:rsidDel="00000000">
      <w:rPr>
        <w:rtl w:val="0"/>
      </w:rPr>
      <w:t xml:space="preserve">06.06.2025. 13.31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Izziņa_25-TA-15.docx</dc:title>
</cp:coreProperties>
</file>

<file path=docProps/custom.xml><?xml version="1.0" encoding="utf-8"?>
<Properties xmlns="http://schemas.openxmlformats.org/officeDocument/2006/custom-properties" xmlns:vt="http://schemas.openxmlformats.org/officeDocument/2006/docPropsVTypes"/>
</file>