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26-TA-2303: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(18.08.2026.)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29.09.2026. 14:20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6.1.apakšpunktā “detalizēts ieņēmumu aprēķins” norādīto 3.1.2.1.i. investīcijas otrās kārtas kopējo pieejamo finansējuma apmēru pēc finansējuma pārdales (6 295 814 </w:t>
            </w:r>
            <w:r w:rsidR="00000000" w:rsidRPr="00000000" w:rsidDel="00000000">
              <w:rPr>
                <w:i w:val="1"/>
                <w:rtl w:val="0"/>
              </w:rPr>
              <w:t xml:space="preserve">euro)</w:t>
            </w:r>
            <w:r w:rsidR="00000000" w:rsidRPr="00000000" w:rsidDel="00000000">
              <w:rPr>
                <w:rtl w:val="0"/>
              </w:rPr>
              <w:t xml:space="preserve">, jo to neveido tālāk norādītā Atveseļošanas un noturības mehānisma finansējuma, valsts budžeta finansējuma un pašvaldību finansējuma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3. sadaļas 6.1. apakšpunktā “detalizēts ieņēmumu aprēķins” norādītais 3.1.2.1.i. investīcijas otrajai kārtai pieejamais kopējais finansējuma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"detalizēts izdevumu aprēķins" norādīts, ka 2026.gada projektu īstenošanai plānotas pašvaldību finansējuma izmaiņas 288 400 euro apmērā. Līdz ar to tabulas 2.3. un 3.3.apakšpunktā minētais pašvaldību finansējums norādāms 3.ailē "izmaiņas kārtējā gadā, salīdzinot ar valsts budžetu kārtējam gadam", attiecīgi precizējot 2.ailē "saskaņā ar valsts budžetu kārtējam gadam" norādīto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pēdējā rindkopā norādīto kopējo prognozēto projektu īstenošanas finansējumu 2 711 019 euro, jo iekavās ietvertās summas neveido minēto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3. sadaļas 6.2. apakšpunkts un 3. sadaļas 2.3. un 3.3. ailes.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3.1.2.1.i. investīcijas "Publisko pakalpojumu un nodarbinātības pieejamības veicināšanas pasākumi cilvēkiem ar funkcionāliem traucējumiem" (turpmāk – 3.1.2.1.i. investīcija) otrās kārtas "Atbalsta pasākumi cilvēkiem ar invaliditāti mājokļu vides pieejamības nodrošināšanai" (turpmāk – otrā kārta) īstenošanai nepieciešamā pievienotās vērtības nodokļa ne vairāk kā 917 410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3. punktā noteikto, lūdzam papildināt protokollēmuma projektu ar jaunu 4.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aktualitāti zaudējušu Ministru kabineta 2026. gada 16. jūnija sēdes protokollēmuma (prot. Nr. 33 14. §) "Noteikumu projekts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sēdes protokollēmuma projekts ar 4. punktu “Atzīt par aktualitāti zaudējušu Ministru kabineta 2026. gada 16. jūnija sēdes protokollēmuma (prot. Nr. 33 14. §) "Noteikumu projekts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3.1.2.1.i. investīcijas "Publisko pakalpojumu un nodarbinātības pieejamības veicināšanas pasākumi cilvēkiem ar funkcionāliem traucējumiem" (turpmāk – 3.1.2.1.i. investīcija) otrās kārtas "Atbalsta pasākumi cilvēkiem ar invaliditāti mājokļu vides pieejamības nodrošināšanai" (turpmāk – otrā kārta) īstenošanai nepieciešamā pievienotās vērtības nodokļa ne vairāk kā 917 410 </w:t>
            </w:r>
            <w:r w:rsidR="00000000" w:rsidRPr="00000000" w:rsidDel="00000000">
              <w:rPr>
                <w:i w:val="1"/>
                <w:rtl w:val="0"/>
              </w:rPr>
              <w:t xml:space="preserve">euro</w:t>
            </w:r>
            <w:r w:rsidR="00000000" w:rsidRPr="00000000" w:rsidDel="00000000">
              <w:rPr>
                <w:rtl w:val="0"/>
              </w:rPr>
              <w:t xml:space="preserve"> apmērā segšanu no valsts budžeta līdzekļiem.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26-TA-2303</w:t>
    </w:r>
    <w:r>
      <w:br/>
    </w:r>
    <w:r w:rsidR="00000000" w:rsidRPr="00000000" w:rsidDel="00000000">
      <w:rPr>
        <w:rtl w:val="0"/>
      </w:rPr>
      <w:t xml:space="preserve">07.10.2026. 16.58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26-TA-2303</w:t>
    </w:r>
    <w:r>
      <w:br/>
    </w:r>
    <w:r w:rsidR="00000000" w:rsidRPr="00000000" w:rsidDel="00000000">
      <w:rPr>
        <w:rtl w:val="0"/>
      </w:rPr>
      <w:t xml:space="preserve">07.10.2026. 16.58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Izziņa_26-TA-2303.docx</dc:title>
</cp:coreProperties>
</file>

<file path=docProps/custom.xml><?xml version="1.0" encoding="utf-8"?>
<Properties xmlns="http://schemas.openxmlformats.org/officeDocument/2006/custom-properties" xmlns:vt="http://schemas.openxmlformats.org/officeDocument/2006/docPropsVTypes"/>
</file>