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23-TA-2111: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rezultāta rādītājs – atbalstīto kultūras un tūrisma objektu apmeklētāju skaits. Rezultāta rādītājs tiek sasniegts, ja projekta pirmā pēcuzraudzības gada beigās apmeklētāju skaits atbalstītajos dabas un vides izglītības informācijas centros sasniegs 201 000 apmeklētāju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 apakšpunktu ar rezultāta rādītāja starpposma sasniedzamo vērtību, ņemot vērā Eiropas Savienības kohēzijas politikas programmā 2021.-2027.gadam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rezultāta rādītājam Nr. RCR77 “Atbalstīto kultūras un tūrisma objektu apmeklētāji” nav noteikta starpposma vērtība, bet ir bāzes jeb sākotnējā vērtība - 15 500 apmeklētāju 2020. gadā. Rezultāta sasniegšana ir atkarīga no iznākuma rādītāja Nr. RCO77 “Atbalstīto kultūras un tūrisma objektu skaits” sasniegšanas, kuram arī nav noteikta starpposma vērtība. Ņemot vērā, ka šobrīd vēl nav uzsākta dabas un izglītības centru būvniecība vai attīstība, paredzams, ka uz 2024. gada 31. decembri, kad tiek uzskaitītas starpposma vērtības, vēl nebūs iespējams spriest par rādītāja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atbalstīto kultūras un tūrisma objektu apmeklētāju skaits. Rezultāta rādītājs tiek sasniegts, ja kopējais apmeklētāju skaits atbalstītajos dabas un vides izglītības informācijas centros sasniegs vismaz 201 000 apmeklētāju pirmā pēcuzraudzības gada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Ja projektā plānoti ieņēmumi, tie nepārsniedz 50 procentus no infrastruktūras un aprīkojuma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 atbalsts nekvalificētos kā atbalsts saimnieciskai darbībai, ieņēmumi nevar pārsniegt 50 procentus no infrastruktūras un aprīkojuma uzturēšanas izdevumiem ikgadēji, lūdzam noteikumu projekta 15.punktā pirms vārda "nepārsniedz" papildināt ar vārdu "ikgadēji". Vienlaikus lūdzam attiecīgi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un pievieno to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ja projektā plānoti ieņēmumi, ievērojot, ka ieņēmumi projektā nevar pārsniegt 50 procentus no infrastruktūras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protokollēmuma (Ministru kabineta 13.07.2023. sēdes protokols Nr. 36, 85.paragrāfs, 22-TA-2143) 3.punktam: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w:t>
            </w:r>
            <w:r w:rsidR="00000000" w:rsidRPr="00000000" w:rsidDel="00000000">
              <w:rPr>
                <w:i w:val="1"/>
                <w:rtl w:val="0"/>
              </w:rPr>
              <w:t xml:space="preserve">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analīzi jāveic, jo šis atbalsta pasākums tiek organizēts kā ierobežota projektu iesniegumu atlase, kur projekta kopējās izmaksas pārsniedz 1 milj. euro. Ņemot vērā minēto, lūdzam precizēt noteikumu projekta 15.punkta redakciju atbilstoši piedāvātajai redakcijai, t.sk. nodrošinot 2.6. projektu iesniegumu vērtēšanas kritērijā noteikto, ka ieņēmumi nepārsniedz 50 procentus no infrastruktūras un aprīkojuma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un pēc nepieciešamības papildināt noteikumu projektu, norādot, ka noteikumu projekta 15. punktā minētā projekta izmaksu un ieguvumu analīze tiks pievienota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nosacījums par ieņēmumiem, kas nepārsniedz 50 procentus no infrastruktūras uzturēšanas izdevumiem, būtu iekļaujams citā MK noteikumu projekta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Ja projektā plānoti ieņēmumi, tie nepārsniedz 50 procentus no infrastruktūras un aprīkojuma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15. punktu. Noteikumu projektā tiek saglabāts nosacījums par nepieciešamību projekta iesnieguma iesniedzējam  sagatavot izmaksu un ieguvumu analīzi. Ņemot vērā, ka projekta ietvaros izveidoto un uzlaboto infrastruktūru un iegādāto aprīkojumu ir paredzēts izmantot arī maksas pakalpojumu sniegšanai, tad, lai novērstu riskus un nodrošinātu paredzēto ieņēmumu līmeņa atbilstību valsts atbalsta izņēmumu nosacījumiem, ir nepieciešams veikt izmaksu un ieņēmumu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ierosinājumu izvērtēt, vai nepieciešams papildināt noteikumu projektu, norādot, ka noteikumu projekta 15. punktā minētā projekta izmaksu un ieguvumu analīze tiks pievienota projekta iesniegumam, paskaidrojam, ka noteikumu projekta 16. punktā ir paredzēts, ka projekta iesniegumu sagatavo atbilstoši atlases nolikuma prasībām. Atlases nolikumā, cita starpā, tiek norādīti arī projekta iesniegumam pievienojamie pielikumi, aprēķini, dokumenti u.c. Papildu norādām, ka par šo nosacījumu ir arī sagatavots projektu vērtēšanas kritērijs, līdz ar to izmaksu-ieguvumu analīze tiks pievienota projekta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un pievieno to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ja projektā plānoti ieņēmumi, ievērojot, ka ieņēmumi projektā nevar pārsniegt 50 procentus no infrastruktūras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Komisijas paziņojuma par valsts atbalsta jēdzienu saskaņā ar Līguma par Eiropas Savienības darbību 107.panta 34. 35.punktu (pieejams: http://eur-lex.europa.eu/legal-content/LV/TXT/?uri=CELEX:52016XC0719(05)) atsevišķas ar kultūru, kultūrvēsturiskā mantojuma saglabāšanu un dabas aizsardzību saistītas darbības var, ņemot vērā to īpašo raksturu, būt organizētas nekomerciāli un tādējādi būt tādas, kurām nav saimnieciska rakstura. Tādējādi publiskais finansējums šādām darbībām var nebūt valsts atbalsts. EK uzskata, ka publiskā finansējuma piešķiršanai kultūras vai kultūrvēsturiskā mantojuma saglabāšanas pasākumam, kas visai sabiedrībai pieejams bez maksas, kalpo tīri sociālam un kultūras mērķim,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Turpretī tādi kultūras vai kultūrvēsturiskā mantojuma saglabāšanas pasākumi (tostarp dabas aizsardzības pasākumi), kurus pārsvarā (ieņēmumi par pakalpojumu pārsniedz 50% no kopējiem izdevumiem)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 kā pirmšķietami pasākums, ievērojot iepriekš minēto EK skaidrojumu, netiks kvalificēts kā saimnieciskā darbība, jo diez vai no dabas aizsardzības pasākuma dalībniekiem tiks prasīta samaksa par pakalpojumu, kas pārsniedz 50% no kopējiem izdevumiem, lūdzam precizēt normatīvā akta projektu tā, lai ir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noteikumos ir iekļauts augstāk minētais komercdarbības atbalsta izslēdzošais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minētos komercdarbības atbalsta izslēdzošos nosacījumus ir jānodrošina visu ieguldījumu amortizācijas laiku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iekļaujot atbilstošu izvērtējumu par komercdarbības atbalsta neesamību, ņemot vērā augstāk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29.5. apakšpunktu un 30. punktu, kā arī anotācijas 1.3. sadaļas apakšiedaļu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un pievieno to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Atlases kārtas ietvaros projektiem plāno tiešās un netiešās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paredzēts viens projekts, kura īstenošanai ir izvirzīti specifiski nosacījumi, kas būs atbilstoši četriem īpaši Dabas aizsardzības pārvaldes vajadzībām pielāgotiem objektiem Latvijā. Nevienā citā projektā, kas tiks īstenots 2021. – 2027. gada finanšu plānošanas perioda ietvaros, līdzīgu darbību veikšana nav paredzēta, līdz ar to, pamatojoties uz resursu lietderīgu izmantošanu, netiek izstrādāta vienkāršoto izmaksu metodika, jo tad tā tiktu izmantota vien vienam projektam plānošanas periodā. Turklāt neviena darbība nav lētāka par 200 000 EUR, kā arī lielākā daļa darbību būs kopējā būvprojekta sastāvā, līdz ar to plašāka vienkāršoto izmaksu metodikas piemērošana netiek paredzēta, tomēr, īstenojot projektu, finansējuma saņēmējs tiek aicināts, un arī noteikumu projektā un anotācijā ir iestrādāts nosacījums, ka pēc iespējas ir jāizmanto jau esošas izstrādātas vienkāršoto izmaksu metodikas, piemēram, finansējuma saņēmēja personāla darba braucienu un iekšzemes komandējumu transporta izmaksu (maksa par degvielu, sabiedriskā transporta izmantošana) segšanai tiks piemērota Vadošās iestādes metodika “Vienas vienības izmaksu standarta likmes aprēķina un piemērošanas metodika 1 km izmaksām darbības programmas “Izaugsme un nodarbinātība” un Eiropas Savienības kohēzijas politikas programmas 2021.–2027.gadam  īstenošanai”, savukārt, ja paredzēti iekšzemes komandējumi, tad radušās izmaksas, kas nav saistītas ar transporta izmaksām, jāsedz saskaņā ar Vadošās iestādes metodiku “Vienas vienības izmaksu standarta likmes aprēķina un piemērošanas metodika iekšzemes komandējumu izmaksām darbības programmas “Izaugsme un nodarbinātība” un Eiropas Savienības kohēzijas politikas programmas 2021.–2027.gadam īstenošanai”. Pamatojums iestrādāts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projektiem plāno tiešās un netiešās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izmaksas ir attiecināmas no 2023. gada 1. janvāra, taču projekta darbības nevar būt pabeigtas pirms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paredz, ka projekta izmaksas paredzēts attiecināt no 2023. gada 1. janvāra. Ievērojot minēto, anotācijā ir jāsniedz pamatojums un Ministru kabineta sēdes protokollēmuma projektā jānosaka finanšu plūsmas pirms projekta apstiprināšanas nodrošināšanas nosacījumi, kā arī atbildīgās iestādes pienākumi un atbildība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pirms projekta apstiprināšanas būs radušās izmaksas, kas nav attiecināmas no ES fondu līdzekļiem, tas ir finansējuma saņēmēja risks, un izmaksas tiek segtas no finansējuma saņēmēja gada sākumā apstiprinātā budžeta ietvaros. Dabas aizsardzības pārvaldei kā VARAM pakļautības iestādei ik gadu tiek apstiprināts budžets, līdz ar to iespējas ir rīkoties tikai pieejamā budžeta ietvaros, neveicot no tā atkāpes, kas nozīmē, ka risks pirms projekta apstiprināšanas radītām izmaksām, kas nav attiecināmas no Eiropas Savienības fondu līdzekļiem, ir neliels. Papildināta redakcija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izmaksas ir attiecināmas no 2023. gada 1. janvāra, taču projekta darbības nevar būt pabeigtas pirms projekta iesnieguma iesniegšanas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Atlases kārtas un projekta īstenošanas un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papildināt ar normu, kas paredz ieņēmumu uzraudzību projekta dzīves ciklā, ņemot vērā nosacījumu par ieņēmumiem, kas nepārsniedz 50 procentus no infrastruktūras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29.5.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projektu īstenošanas un uzraudzības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nodrošina projekta rezultātu ilgtspēju un uzturēšanu vismaz piecus gadus pēc noslēguma maksājuma veikšanas, bet, ja projekta ietvaros izveidotās infrastruktūras kalpošanas ilgums ir ilgāks, tad visu projekta iesniegumā norādīto infrastruktūras kalpošanas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29.8. apakšpunktu, jo EK 2023. gada 2. oktobrī ir sniegusi skaidrojumu, kādēļ ilgtspēja nav jānodrošina visu dzīves ciklu (amortizācijas) periodu, bet tikai 5 gadus. Ilgtspējas nosacījumi ir nodalāmi no papildus saimnieciskās uzraudzības nosacījumiem un ilgtspēja ir jānodrošina 5 gadus atbilstoši </w:t>
            </w:r>
            <w:r w:rsidR="00000000" w:rsidRPr="00000000" w:rsidDel="00000000">
              <w:rPr>
                <w:i w:val="1"/>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71.pantam.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projekta rezultātu ilgtspēju un uzturēšanu vismaz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ievēro horizontālo principu "Vienlīdzība, iekļaušana, nediskriminācija un pamattiesību ievērošana" un uzkrāj datus par projekta ietekmi uz horizontālo principu rādītājiem, veic datu ievadi Kohēzijas politikas fondu vienotās informācijas sistēmā projekta īstenošanas un pēcuzraudzības laikā, tai skaitā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nav paredzēta prasība uzkrāt datus par horizontālo principu rādītājiem pēcuzraudzības periodā, tāpat lūdzam redakcionāli precizēt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ievēro horizontālo principu “Vienlīdzība, iekļaušana, nediskriminācija un pamattiesību ievērošana”, uzkrāj datus par projekta ietekmi uz horizontālo principu rādītājiem un Kohēzijas politikas fondu vadības informācijas sistēmā sniedz informāciju par to sasniegtajām vērtībām, tai skaitā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ievēro horizontālo principu “Vienlīdzība, iekļaušana, nediskriminācija un pamattiesību ievērošana”, uzkrāj datus par projekta ietekmi uz horizontālo principu rādītājiem un Kohēzijas politikas fondu vadības informācijas sistēmā sniedz informāciju par to sasniegtajām vērtībām, tai skaitā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izpilda nepieciešamās prasības, lai nodrošinātu horizontālo principu "Nenodarīt būtisku kaitējumu" un "Klimatdrošināšana", kā arī Eiropas Savienības un Latvijas Republikas normatīvo aktu ievērošanu vides aizsardzības jomā,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būvniecības sektora lelo lomu klimatneitralitātes mērķu sasniegšanā un Latvijas juridiskās saistības attiecībā uz emisiju samazinājumu ne-ETS sektorā, valsts pārvaldes iestādēm veicot pasūtījumus, ir maksimāli jāveicina emisiju samazināšana un oglekļa piesaistes (noglabāšanas) pieeja plānotajās darbībās.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29.11.5. Projekta būvniecības pasākumos tiek nodrošināta oglekļa noglabāšana ilglaicīgos produktos.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norādītajam, tomēr ar piebildi, ja projektā to iespējams attiecināt un nodrošināt minēto prasību pieejamā finansējuma un ieceres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izpilda nepieciešamās prasības, lai nodrošinātu horizontālo principu "Nenodarīt būtisku kaitējumu", "Klimatdrošināšana", "Energoefektivitāte pirmajā vietā", kā arī Eiropas Savienības un Latvijas Republikas normatīvo aktu ievērošanu vides aizsardzības jomā,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29.11.4. nodrošina atjaunoto, pārbūvēto un jaunbūvēto ēku un ar to saistītās infrastruktūras enerģijas patēriņu no atjaunīgajiem energoresursiem atbilstoši šo noteikumu </w:t>
            </w:r>
            <w:r w:rsidR="00000000" w:rsidRPr="00000000" w:rsidDel="00000000">
              <w:rPr>
                <w:rtl w:val="0"/>
              </w:rPr>
              <w:t xml:space="preserve">17.3.1.</w:t>
            </w:r>
            <w:r w:rsidR="00000000" w:rsidRPr="00000000" w:rsidDel="00000000">
              <w:rPr>
                <w:rtl w:val="0"/>
              </w:rPr>
              <w:t xml:space="preserve"> un </w:t>
            </w:r>
            <w:r w:rsidR="00000000" w:rsidRPr="00000000" w:rsidDel="00000000">
              <w:rPr>
                <w:rtl w:val="0"/>
              </w:rPr>
              <w:t xml:space="preserve">17.3.2. </w:t>
            </w:r>
            <w:r w:rsidR="00000000" w:rsidRPr="00000000" w:rsidDel="00000000">
              <w:rPr>
                <w:rtl w:val="0"/>
              </w:rPr>
              <w:t xml:space="preserve">apakšpunktos</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skaidrotajam, lūdzam papildināt noteikumu projekta 29.11.4.apakšpunktu, ka elektroenerģijas pašpatēriņa kritērijs jānodrošina elektroenerģijas iekārtas amortizācijas periodā. Vienlaikus lūdzam anotācijā norādīt, kādēļ elektroenerģijas pašpatēriņa kritērijs ir jānodrošina pēcuzraudzības periodā, proti, pamatojot to ar iekārtu minimālo amortizācijas periodu (ja tas sakrīt ar projekta pēcuzraudzības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skaidrojumu anotācijas sadaļā "Atbalstāmās darbības un attiecināmās izmaksas" atbilstoši noteikumu projekta 17.3.1. un 17.3.2.punktam, kas nosaka, ka enerģija, kas gadā saražota ar projektā iekļautajām iekārtām, vismaz 80 procentu apmērā tiks izmantota projekta ēku pašpatēriņam.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norādītajam un redakcijas salāgotas ar projektu iesniegumu vērtēšanas kritērijiem un to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30.11.4. nodrošina atjaunoto, pārbūvēto un jaunbūvēto ēku un ar to saistītās infrastruktūras enerģijas patēriņu no atjaunīgajiem energoresursiem projekta pēcuzraudzības periodā. Prasība projekta pēcuzraudzības periodā ir uzskatāma par izpildītu, ja patērētās enerģijas no atjaunīgajiem energoresursiem īpatsvars ēkā un ar to saistītajā infrastruktūrā sastāda vismaz 80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uzkrāj datus par projekta ietekmi uz horizontālo principu īstenošanu, veic datu ievadi Kohēzijas politikas fondu vienotās informācijas sistēmā projekta īstenošanas un pēcuzraudzības laikā un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nav noteikta prasība uzkrāt informāciju par horizontālo principu īstenošanu pēcuzraudzības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projekta īstenošanas laikā uzkrāj datus par projekta ietekmi uz horizontālo principu īstenošanu un projekta īstenošanas laikā un pēcuzraudzības periodā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29.12.1.energoefektivitāte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29.12.2.iniciatīvas Eiropas Jaunais "Bauhaus" principus: estētika, ilgtspēja, iekļautība, tai skaitā, nodrošinot klimata pārmaiņām pielāgoto risinājumu iekļaušanos apkārtējā ainavā, dabā balstīto risinājumu, universālā dizaina principu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projekta īstenošanas laikā uzkrāj datus par projekta ietekmi uz horizontālo principu īstenošanu un projekta īstenošanas laikā un pēcuzraudzības periodā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valsts budžeta iestāde, un tām netiek plānoti avansi, lūdzam svītrot noteikumu projekta 30. un 31. punktu. 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ar saimniecisku darbību nesaistīts projekts tā pēcuzraudzības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uzskatītu, ka atbalsts netiek sniegts saimnieciskai darbībai dabas aizsardzības projektā, komercdarbības (šajā gadījumā - saimnieciskās darbības) atbalsta izslēdzošie nosacījumi ir jānodrošina visu ieguldījumu amortizācijas (projekta dzīves cikla) laiku (sīkāku skaidrojumu skatīt pie noteikumu 15.punkta iekļautā iebilduma). Attiecīgi lūdzam precizēt noteikumu 32.punktu. Vienlaikus aicinām izvērtēt, vai gadījumos, kad saimnieciskās darbības izslēdzošie nosacījumi netiek nodrošināti visu ieguldījumu amortizācijas (projekta dzīves cikla) laiku, un atbalsts kvalificēsies kā komercdarbības atbalsts, vai nebūtu jāparedz iespēja atbalstam piemērot attiecīgos komercdarbības atbalsta regulējumus, lai nelikumīgais komercdarbības atbalsts nebūtu jāatgūst.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30.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ar saimniecisku darbību nesaistīts projekts tā dzīves cikla laikā kļūst par projektu, kas saistīts ar saimniecisku darbību un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projekta ieviešanā iesaistītā personāla amatu klasifikāciju, vienlaikus arī norādot vai projekta ieviešanai plānots piesaistīt esošo nodarbināto personālu vai arī tas tiks piesaistīts uz projekta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nav saprotams, kā tiek veidota amatu klasifikācija. Precīza amatu klasifikācija no Valsts kancelejas tiks saskaņota tikai iesniedzot amatu aprakstus, lai saskaņotu konkrētos amatus kā to nosaka MK noteikumu 262 3.nodaļa “Amatu saskaņošanas kārtība valsts tiešās pārvaldes iestādēs”. Norādāms, ka projekta ieviešanas personālam nevar tikt piemēroti 11.amatu saimes norādītie līmeņi, jo: 1) saskaņā ar MK noteikumiem Nr. 262 šai amatu saimei nevienam no līmeņiem nav dalījuma vēl A un B līmenī; 2) IV līmenis ir paredzēts MK līmeņa tiesību aktu projektu rediģēšanai.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projektā iesaistīties finanšu, iepirkumu un komunikāciju speciālisti ir klasificējami funkcionālajās amatu saimēs un nevis projekta vadības saimē.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projektā iesaistītā personāla amatu apraksti tiks saskaņoti ar Valsts kanceleju atbilstoši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noteikumos Nr. 262 "Valsts un pašvaldību institūciju amatu katalogs, amatu klasifikācija un amatu apraksta izstrādāšanas kārtība" 39.1. amatu saimes "Projektu vadība, īstenošana un uzraudzība. Projektu vadība un īstenošana" līmeņu aprakstus lūdzam precīzi norādīt kāds IV līmenis tiks piemērots : A vai 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precīza amata klasifikācija tiks noteikta, kad VARAM iesniegs amatu aprakstu Valsts kancelejai saskaņošanai. Minētais amatu klasifikācijas saskaišanos process neietekmē šo MK noteikumu projekta kopējo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katram projekta vadībā un īstenošanā iesaistītajam amatam norādot arī līmeni saskaņā ar MK noteikumiem Nr. 262 "Valsts un pašvaldību institūciju amatu katalogs, amatu klasifikācija un amatu apraksta izstrādāšanas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no kultūras iestādes apmeklētājiem vai sabiedrībai pieejama kultūras, kultūrvēsturiskā mantojuma saglabāšanas vai dabas aizsardzības pasākuma dalībniekiem tiek prasīta samaksa, kas sedz tikai daļu no faktiskajām izmaksām (ieņēmumi par pakalpojumu nepārsniedz 50% no kopējiem izdevumiem), šim pasākumam </w:t>
            </w:r>
            <w:r w:rsidR="00000000" w:rsidRPr="00000000" w:rsidDel="00000000">
              <w:rPr>
                <w:b w:val="1"/>
                <w:rtl w:val="0"/>
              </w:rPr>
              <w:t xml:space="preserve">nav saimnieciska rakstura. </w:t>
            </w:r>
            <w:r w:rsidR="00000000" w:rsidRPr="00000000" w:rsidDel="00000000">
              <w:rPr>
                <w:rtl w:val="0"/>
              </w:rPr>
              <w:t xml:space="preserve">Attiecīgi atbalsts nav tālāk jāvērtē atbilstoši Komercdarbības atbalsta kontroles likuma 5.pantā noteiktajām četrām komercdarbības atbalsta pazīmēm, t.sk. par to, vai atbalstam ir vai nav ietekmes uz tirdzniecību un konkurenci Eiropas Savienības iekšējā tirgū. Attiecīgi lūdzam precizēt anotācijas sadaļā "Komercdarbības atbalsta nosacījumi" iekļauto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pasākuma ietvaros netiek atbalstītas projekta iesniedzēja aktivitātes, kurā atbalsts ir kvalificējams kā komercdarbības atbalsts, ievērojot, ka atbilstoši MK noteikumu 14. punktā noteiktajam, 2.2.3.2. pasākuma ietvaros atbalsts tiks sniegts tikai valsts pārvaldes uzdevumu un deleģēto valsts pārvaldes uzdevumu īstenošanai. 2.2.3.2. pasākuma ietvaros izveidotajā infrastruktūrā ir paredzēti maksas pakalpojumi daļējai uzturēšanas izdevumu segšanai. Ja 2.2.3.2. pasākuma ietvaros paredzētie maksas pakalpojumi sedz tikai daļu no faktiskajām izmaksām un nepārsniedz 50 procentus no kopējiem infrastruktūras uzturēšanas izdevumiem, atbilstoši Komisijas paziņojuma par valsts atbalsta jēdzienu saskaņā ar Līguma par Eiropas Savienības darbību 107. pantu 34. un 35. punktu, šādi pasākumi ir organizējamai nekomerciāli, tādējādi šādiem pasākumiem nav saimnieciska rakstura un šāds atbalsts netiek kvalificēts kā komercdarbības atbalsts un netiek vērtēts atbilstoši Komercdarbības atbalsta kontroles likuma 5. pantā noteiktajam. Lai nodrošinātu, ka paredzētajā projekta infrastruktūrā tās ekspluatācijas periodā tiks ievērots nosacījums par darbību veikšanu, kurām nav saimnieciska rakstura un kuras nekvalificējas kā komercdarbības atbalsts, MK noteikumu projekta 15. punkts paredz veikt izmaksu un ieguvumu analīzi atbilstoši sadarbības iestādes izstrādātajiem metodiskajiem norādījumiem, ievērojot, ka ieņēmumi projekta dzīves cikla laikā ikgadēji nevar pārsniegt 50 procentus no infrastruktūras uzturēšanas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rindkopu, kas sākas ar vārdiem "Projekta gaitā var tikt piesaistīti papildu eksperti īslaicīgu un specifisku darbu veikšanai", sākuma daļā aicinām ietvert informāciju, ka projekta personāls nodrošinās projekta administratīvās, organizatoriskās un koordinējošās funkcijas, šīs izmaksas ir skaidri nodalāmas no pārējām projekta izmaksām, kā arī nepastāv minēto izmaksu pārklāšanās ar papildu ekspertu izmaksām un funkcijām, tā kā šie eksperti var tikt piesaistīti…[..].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esošā redakcija ir interpretējama, pieļaujot, ka tas ir īstenošanas personāls, kas tiks piesaistīts uz noteiktu laiku. Aicinām pamatojumā norādīt, ka finansējuma saņēmējs šādu funkciju īstenošanu nenodrošina, tāpēc šis pakalpojums tiks iepirkts.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paredz atbalstu infrastruktūras pilnveidei un attīstībai esošajos nacionālajos parkos (Gaujas nacionālais parks, Ķemeru nacionālais parks, Slīteres nacionālais parks un Rāznas nacionālais parks), paredzot infrastruktūras būvniecības, atjaunošanas, pārbūves, labiekārtošanas, aprīkojuma iegādes/uzstādīšanas aktivitātes, kā arī ekspozīciju izveides/paplašināšanas un materiālu izstrādes aktivitātes, attiecīgi uzturēšanas izmaksas pēc pasākuma pabeigšanas būtu pieprasāmas saistībā ar projekta rezultātu, proti, infrastruktūras uzturēšanu nevis Dabas aizsardzības pārvaldes kapacitātes stiprināšanai. Ņemot vērā minēto, neatbalstām anotācijas 3.sadaļā norādīto, ka projekta uzturēšanas izmaksas ietver 8 jaunu amata vietu izveidi un lūdzam pārskatīt un precizēt anotācijas 3.sadaļā un anotācijas pielikumā norādītos projekta uzturēšanas izmaksu aprēķinus un to apmērus, svītrojot tās pozīcijas, kas nav tieši saistītas ar projekta rezultātu (infrastruktūras) uzturēšanu (piemēram, personāla izdevumi, auto noma, degviela, informācijas un publicitātes pasākumi, dabas nozares ekspertu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jautājums par Dabas aizsardzības pārvaldes kapacitātes stiprināšanu var tikt skatīts Ministru kabinetā valsts budžeta likumprojekta sagatavošanas procesā, VARAM iesniedzot attiecīgo prioritārā pasākuma pieteikumu, ievērojot valsts budžeta finansiālās iespējas, bet tas nav sasaistāms ar šī noteikumu projekta īstenošanu. Vienlaikus vēršam uzmanību, ka jautājumā par amata vietu skaita izmaiņām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precizējumus anotācijas 3. sadaļā </w:t>
            </w:r>
            <w:r w:rsidR="00000000" w:rsidRPr="00000000" w:rsidDel="00000000">
              <w:rPr>
                <w:i w:val="1"/>
                <w:rtl w:val="0"/>
              </w:rPr>
              <w:t xml:space="preserve">Tiesību akta projekta ietekme uz valsts budžetu un pašvaldību budžetiem, </w:t>
            </w:r>
            <w:r w:rsidR="00000000" w:rsidRPr="00000000" w:rsidDel="00000000">
              <w:rPr>
                <w:rtl w:val="0"/>
              </w:rPr>
              <w:t xml:space="preserve">kā arī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šādu precizējumu veikšanu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anotācijas 3.sadaļā, gan anotācijas pielikumā precizēt aprēķinus, kas saistīti ar infrastruktūras uzturēšanu, svītrojot no aprēķiniem konstantu izmaksu pieaugumu saistībā ar inflāciju, attiecīgi uzturēšanas izmaksas plānojot nemainīgā līmenī. Norādām, ka cenu izmaiņas var būt mainīgas (gan palielināties, gan samazināties), attiecīgi nav atbalstāma uzturēšanas izdevumu aprēķināšana, paredzot konstantu izmaksu pieaugumu saistībā ar inflāciju.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2024.gadam norādīto informāciju 1.- 5.punktos pārcelt uz aili “izmaiņas kārtējā gadā, salīdzinot ar valsts budžetu kārtējam gadam”, ievērojot, ka šobrīd VARAM budžetā finansējums šim pasākumam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6.punktā norādīto pasākuma īstenošanas izdevumu sadalījumu pa gadiem, ņemot vērā, ka šobrīd izdevumu kopsumma, tai skaitā sadalījumā pa finansējuma avotiem, nesakrīt ar noteikumu projekta 8.punktā norādīto, attiecīgi nepieciešamības gadījumā arī precizējot anotācijas 3.sadaļas 1.-5.punktos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anotācijas 3.sadaļas punktā “Cita informācija” norādīto par uzturēšanas izmaksu segšanu no maksas pakalpojumu ieņēmumiem atgādinām, ka saskaņā ar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maksas pakalpojuma izcenojums ietver visas izmaksas, kuras rodas, sniedzot maksas pakalpojumu. Ņemot vērā minēto, lūdzam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3.sadaļas punkta “Cita informācija” pirmajā rindkopā vārdus “nepieciešamie valsts budžeta līdzekļi” aizstāt ar vārdiem “nepieciešamais finansējuma ERAF un valsts budžeta līdzfinansējuma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Izmaksu pieaugums uzturēšanas izdevumiem pa gadiem saistīts ar uzstādītās infrastruktūras un ekspozīciju nolietojumu. Jo lielāks nolietojums, jo vairāk jāiegulda dažādu ekspozīcijas interaktīvo elementu atjaunošanai, labošanai, aizvietojošu elementu nomaiņai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3.sadaļā 2024.gadam norādītā informācija 1. - 5. punktā pārcelta uz aili “izmaiņas kārtējā gadā, salīdzinot ar valsts budžetu kārtējam gadam”, ievērojot, ka šobrīd VARAM budžetā finansējums šim pasākumam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anotācijas 3.sadaļas 6.punktā norādītais pasākuma īstenošanas izdevumu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4.Attiecībā uz iebilduma 4. punktu skaidrojam, ka 2.2.3.2. pasākuma ietvaros netiek atbalstītas projekta iesniedzēja aktivitātes, kurām atbalsts ir kvalificējams kā komercdarbības atbalsts, ievērojot, ka atbilstoši MK noteikumu 14. punktā noteiktajam, 2.2.3.2. pasākuma ietvaros atbalsts tiks sniegts tikai valsts pārvaldes uzdevumu un deleģēto valsts pārvaldes uzdevumu īstenošanai un maksas pakalpojumi projekta infrastruktūrā  nepārsniedz  50 procentus ikgadēji no kopējiem infrastruktūras uzturēšanas izdevumiem, atbilstoši Komisijas paziņojuma par valsts atbalsta jēdzienu saskaņā ar Līguma par Eiropas Savienības darbību 107. pantu 34. un 35. punktu, līdz ar to nav iespējams ar maksas pakalpojumiem segt visas dabas centru uzturēšanas izmaksas, vienlaikus DAP pilda valsts pārvaldes uzdevumu par sabiedrības izglītošanu dabas aizsardzības jautājumos, līdz ar to šis uzdevums nav finansējams tikai no DAP ieņēmumiem, jo paredz ļoti plašu klāstu ar darbībām un nav paredzēts par tām visām piemērot maksu no sabiedrības. DAP centros var tikt sniegti maksas pakalpojumi un tie izpildīs nosacījumus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ka konkrētā maksas pakalpojuma izdevumi ir tādā pašā apjomā kā ieņēmumi, taču nav plānots, ka visa centru uzturēšana ir jāfinansē par maksas pakalpojumiem tādējādi nodrošinot visai sabiedrībai pieejamu infrastruktūru un dabas izglītības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3.sadaļas punktā “Cita informācija” pirmajā rindkopā vārdi “nepieciešamie valsts budžeta līdzekļi” aizstāti ar vārdiem “Pasākumam nepieciešamais ERAF un valsts budžets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Primāri ir jāvērtē jau esošo, t.sk. ilgstoši (vairāk par 6 mēnešiem) vakanto amatu vietu lietderība un nepieciešamība, tās attiecīgi restrukturizējot. Veidojot jaunas amata vietas, netiek nodrošināta virzība uz mazu un efektīvu valsts pārvaldi.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jau šobrīd (atbilstoši iestāžu sniegtajiem datiem Atlīdzības uzskaites sistēmā uz 30.11.2023.) VARAM resorā kopumā ir 76 vakantas amata vietas (tais skaitā 21 uz noteiktu laiku), savukārt Dabas aizsardzības pārvaldē vakantas ir 4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amata vietām projekta ieviešanas laikā DAP izvērtēs iespēju esošo amata vietu pārstrukturēšanai, kā arī nepieciešamības gadījumā gatavos jaunajām politikas iniciatīvam kā paredzēts likumprojekta par valsts budžetu gatavošanas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otro rindkopu precizēt šādā redakcijā:  </w:t>
            </w:r>
            <w:r w:rsidR="00000000" w:rsidRPr="00000000" w:rsidDel="00000000">
              <w:rPr>
                <w:i w:val="1"/>
                <w:rtl w:val="0"/>
              </w:rPr>
              <w:t xml:space="preserve">“Pēc projektu īstenošanas projektu ietvaros pilnveidotās vai jaunizveidotās infrastruktūras ekspluatācijai un uzturēšanai būs nepieciešami papildu līdzekļi no valsts budžeta, jo projekta ietvaros atbalstītajā infrastruktūrā ieņēmumi par sniegtajiem pakalpojumiem nespēs segt visas uzturēšanas izmaksas. Jautājums par papildu valsts budžeta finansējumu uzturēšanas izmaksu segšanai kārtējā gada ietvaros ir izskatāms un piešķirams Likumā par budžetu un finanšu vadību 9.</w:t>
            </w:r>
            <w:r w:rsidR="00000000" w:rsidRPr="00000000" w:rsidDel="00000000">
              <w:rPr>
                <w:i w:val="1"/>
                <w:vertAlign w:val="superscript"/>
                <w:rtl w:val="0"/>
              </w:rPr>
              <w:t xml:space="preserve">1 </w:t>
            </w:r>
            <w:r w:rsidR="00000000" w:rsidRPr="00000000" w:rsidDel="00000000">
              <w:rPr>
                <w:i w:val="1"/>
                <w:rtl w:val="0"/>
              </w:rPr>
              <w:t xml:space="preserve">panta otrajā daļā noteiktajā kārtībā un valsts budžeta likumprojekta sagatavošanas procesā Likumā par budžetu un finanšu vadību 18.</w:t>
            </w:r>
            <w:r w:rsidR="00000000" w:rsidRPr="00000000" w:rsidDel="00000000">
              <w:rPr>
                <w:i w:val="1"/>
                <w:vertAlign w:val="superscript"/>
                <w:rtl w:val="0"/>
              </w:rPr>
              <w:t xml:space="preserve">1 </w:t>
            </w:r>
            <w:r w:rsidR="00000000" w:rsidRPr="00000000" w:rsidDel="00000000">
              <w:rPr>
                <w:i w:val="1"/>
                <w:rtl w:val="0"/>
              </w:rPr>
              <w:t xml:space="preserve">panta sestās daļas 7.punktā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minētajā punktā arī pamatot, kāpēc ieņēmumi par sniegtajiem pakalpojumiem nespēs segt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 Vienlaikus skaidrojam - veicot līdzšinējās aplēses par potenciālo apmeklētāju plūsmu jaunizveidotajos objektos un potenciālajiem ieņēmumiem tajos, ir maz ticams, ka iegūtie ieņēmumi spēs segt uzturēšanas uzdevumus, saglabājot šobrīd spēkā esošo Dabas aizsardzības pārvaldes publisko pakalpojumu cenrādi, kas noteikts saskaņā ar 2023. gada 13. jūnija Ministru kabineta noteikumiem Nr. 298 "Dabas aizsardzības pārvaldes publisko maksas pakalpojumu cenrādis" (turpmāk - cenrādis). Lai spētu nosegt uzturēšanas izdevumus, būtu jāpārskata cenrādis, paaugstinot pakalpojumu cenu atsevišķās pozīcijās, taču šādā gadījumā jaunizveidotajos objektos daļai sabiedrības pakalpojumi varētu kļūt nepieejami un rastos risks nesasniegt pasākumam un projektam noteikto mērķi par apmeklētāju skaitu.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3.sadaļā punktā “Cita informācija” 2.tabulā norādīto pozīciju izmaksu summas, jo, saskaitot kopā apakšpozīcijām norādītās vērtības, neveidojas norādītās kopsummas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pārskatīta, un vērtības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2024. un 2030.gadam norādīto izdevumu sadalījumu ERAF finansējuma un valsts budžeta finansējuma apmēram, ņemot vērā, ka šobrīd izdevumu kopsumma ir mazāka nekā norādītais tās sadalījums finansējuma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7.punktā norādīts, ka pēc projekta ieviešanas būs nepieciešams izveidot 8 jaunas amata vietas, lūdzam attiecīgi papildināt MK protokollēmumu ar atsevišķu punktu kā to nosaka VSS 30.03.2023. protokola Nr. 12 #4 2.punkts.. Vienlaikus vēršam uzmanību, ka Valsts kanceleja konceptuāli iebilst jaunu amata vietu izveidei, tādejādi palielinot valsts tiešās pārvaldes nodarbināto kopējo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7.punkts. Informējam, ka noteikumu projektā vairs nav paredzēts izveidot jaunas amata vietas, protokollēmums nav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stājas spēkā pēc Eiropas Savienības kohēzijas politikas programmas 2021.–2027.gadam grozījumu apstiprināšanas Ministru kabinetā un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nosakot, ka izmaksas, kas saistītas ar VARAM ierosinātajiem grozījumiem Eiropas Savienības kohēzijas politikas programmā 2021.–2027.gadam (turpmāk - Programma), proti, jaunas atbalstāmās darbības iekļaušana, ir attiecināmas no Programmas grozījumu iesniegšanas brīža Eiropas Komisijā. Vienlaikus lūdzam paredzēt VARAM kā atbildīgās iestādes rīcību gadījumā, ja grozījumi programmā netiks apstiprināti. Attiecīgi, informācijas izsekojamībai, aicinām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dzēsts, tā vietā noteikumu projekts papildināts ar noslēguma jautājumu nodaļu. VARAM seko aktualitātēm par 2.2.3.2. pasākuma atbalstāmajām darbībām un potenciālajiem paziņojumiem no EK saistībā ar to. Noteikumu projekts stājas spēkā parastajā kārtībā, jo grozījumi Eiropas Savienības kohēzijas politikas programmā 2021. - 2027. gadam skar tikai vienu noteikumu apakšpunktu, kas tiek noregulēts noteikumu projekta noslēguma jautājumā. Ņemot vērā, ka jaunu ēku būvniecība paredzēta divos no četriem dabas izglītības centriem, tad gadījumā, ja tiks saņemta negatīva atbilde no EK par jaunu ēku būvniecību 2.2.3.2 pasākuma ietvaros, tiks meklētas citas alternatīvas iespējas. Līdz ar to, ja EK neatbalstīs jaunu ēku būvniecību, tad noteikumos paredzētās atbalstāmās darbības par jaunu ēku celtniecību nav attiecināmas.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rezultāta rādītājs – atbalstīto kultūras un tūrisma objektu apmeklētāju skaits. Rezultāta rādītājs tiek sasniegts, ja projekta pirmā pēcuzraudzības gada beigās apmeklētāju skaits atbalstītajos dabas un vides izglītības informācijas centros sasniegs 201 000 apmeklētāju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rezultāta rādītāja sasniegšanas termiņu, ņemot vērā, ka projekta īstenošana ir paredzēta līdz 2029.gada 31.decembrim, bet MK noteikumu 29.9.apakšpunkts paredz rādītāja uzskaiti vismaz gadu pēc noslēguma maksājuma veikšanas un informācijas sniegšanu pirmajā pēcprojekta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rādītāja Nr. RCR 77 "Atbalstīto kultūras un tūrisma objektu apmeklētāji" (turpmāk - rādītājs Nr. RCR 77) metodoloģiskā apraksta rādītāja definīciju: "</w:t>
            </w:r>
            <w:r w:rsidR="00000000" w:rsidRPr="00000000" w:rsidDel="00000000">
              <w:rPr>
                <w:i w:val="1"/>
                <w:rtl w:val="0"/>
              </w:rPr>
              <w:t xml:space="preserve">Paredzamais atbalstīto kultūras un tūrisma objektu gada apmeklētāju skaits. Apmeklētāju skaita novērtējums jāveic ex post vienu gadu pēc intervences pabeigšanas</w:t>
            </w:r>
            <w:r w:rsidR="00000000" w:rsidRPr="00000000" w:rsidDel="00000000">
              <w:rPr>
                <w:rtl w:val="0"/>
              </w:rPr>
              <w:t xml:space="preserve">", lai gan sasniedzamā vērtība rādītājam noteikta uz 31.12.2029. Rādītājs Nr. RCR 77 ir cieši saistīts ar rādītāju Nr. RCO77 "Atbalstīto kultūras un tūrisma objektu skaits" (turpmāk - rādītājs Nr. RCO77), kas pēc būtības izriet no rādītāja Nr. RCO77 sasniegšanas. Lai arī rādītāja Nr. RCR77 metodoloģiskā apraksta sadaļā noteikts, ka tas jāsasniedz līdz 31.12.2029., tomēr rādītāja sasniegšanas sadaļā skaidrots: "</w:t>
            </w:r>
            <w:r w:rsidR="00000000" w:rsidRPr="00000000" w:rsidDel="00000000">
              <w:rPr>
                <w:i w:val="1"/>
                <w:rtl w:val="0"/>
              </w:rPr>
              <w:t xml:space="preserve">Rādītājs uzskatāms par sasniegtu projekta pēcuzraudzības pirmā gada beigās atbilstoši informācijai, kas norādīta projektu pēcuzraudzības pārskatos, ja projekti tiek pabeigti 2029. gadā, tad rādītājs tiek noteikts uz 2030. gadu. Kopējo rezultāta rādītāju aprēķina pēc visu projektu datu saņemšanas.</w:t>
            </w:r>
            <w:r w:rsidR="00000000" w:rsidRPr="00000000" w:rsidDel="00000000">
              <w:rPr>
                <w:rtl w:val="0"/>
              </w:rPr>
              <w:t xml:space="preserve">" Precizēts 29.9.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atbalstīto kultūras un tūrisma objektu apmeklētāju skaits. Rezultāta rādītājs tiek sasniegts, ja kopējais apmeklētāju skaits atbalstītajos dabas un vides izglītības informācijas centros sasniegs vismaz 201 000 apmeklētāju pirmā pēcuzraudzības gada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projektā plānoti ieņēmumi, projekta iesniedzējs atbilstoši sadarbības iestādes izstrādātajiem metodiskajiem norādījumiem veic izmaksu un ieguvumu analīzi un pievieno to projekta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ņemot vērā, ka atbilstoši Ministru kabineta 2023. gada 13. jūlija sēdes protokola Nr. 36 85. § 3. punktam ne tikai gadījumos, kad Eiropas Savienības fondu projekta ietvaros plānots gūt neto ieņēmumus, bet arī tiem Eiropas Savienības fondu projektiem, kuru atlase paredzēta </w:t>
            </w:r>
            <w:r w:rsidR="00000000" w:rsidRPr="00000000" w:rsidDel="00000000">
              <w:rPr>
                <w:b w:val="1"/>
                <w:rtl w:val="0"/>
              </w:rPr>
              <w:t xml:space="preserve">ierobežotas projektu iesniegumu atlases veidā</w:t>
            </w:r>
            <w:r w:rsidR="00000000" w:rsidRPr="00000000" w:rsidDel="00000000">
              <w:rPr>
                <w:rtl w:val="0"/>
              </w:rPr>
              <w:t xml:space="preserve"> un projekta </w:t>
            </w:r>
            <w:r w:rsidR="00000000" w:rsidRPr="00000000" w:rsidDel="00000000">
              <w:rPr>
                <w:b w:val="1"/>
                <w:rtl w:val="0"/>
              </w:rPr>
              <w:t xml:space="preserve">kopējās izmaksas (ieskaitot PVN) pārsniedz 1 miljonu </w:t>
            </w:r>
            <w:r w:rsidR="00000000" w:rsidRPr="00000000" w:rsidDel="00000000">
              <w:rPr>
                <w:b w:val="1"/>
                <w:i w:val="1"/>
                <w:rtl w:val="0"/>
              </w:rPr>
              <w:t xml:space="preserve">euro,</w:t>
            </w:r>
            <w:r w:rsidR="00000000" w:rsidRPr="00000000" w:rsidDel="00000000">
              <w:rPr>
                <w:rtl w:val="0"/>
              </w:rPr>
              <w:t xml:space="preserve"> ir nepieciešams veikt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minēto risinājumu var nepiemērot, ja to objektīvi un izvērsti pamato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atbilstoši sadarbības iestādes izstrādātajiem metodiskajiem norādījumiem veic izmaksu un ieguvumu analīzi un pievieno to projekta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15.punkta redakcija atbilstoši norādītajai.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atbilstoši sadarbības iestādes izstrādātajiem metodiskajiem norādījumiem veic izmaksu un ieguvumu analīzi un pievieno to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saskaņā ar projektu iesniegumu atlases nolikuma prasībām elektroniski sagatavo projekta iesniegumu un iesniedz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16.punktā vārdu "elektroniski", lai nerastos interpretācijas iespējas. Vēršam uzmanību, ka atbilstoši Kohēzijas politikas fondu vadības informācijas sistēmas funkcionalitātei, sistēmā ir iestrādāti projekta iesnieguma datu lauki, kuros tiek norādīta atbilstoša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saskaņā ar projektu iesniegumu atlases nolikuma prasībām sagatavo projekta iesniegumu un iesniedz sadarbības iestādē, izmantojot Kohēzijas politikas fondu vadības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informatīvo un publicitātes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 - 2027.gada plānošanas periodā izveidojošos praksi un horizontālajos normatīvajos aktos lietoto jēdzienu "komunikācijas un vizuālās identitātes prasību nodrošināšanas nosacījumi", aicinām izvērtēt un pēc nepieciešamības precizēt noteikumu projekta 17.7., 19.19. un 29.1.apakšpunktu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precizēti 17.6., 19.17. un 29.1.apakšpunkti atbilstoši norādītajam. Precizēts jēdziens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komunikācijas un vizuālās identitātes prasību nodrošināšana saskaņā ar šo noteikumu </w:t>
            </w:r>
            <w:r w:rsidR="00000000" w:rsidRPr="00000000" w:rsidDel="00000000">
              <w:rPr>
                <w:rtl w:val="0"/>
              </w:rPr>
              <w:t xml:space="preserve">30.1.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projekta vadība.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17.10.apakšpunktu atbilstoši piedāvātajai redakcijai. Vienlaikus aicinām izvērtēt, vai nosacījums ir papildināms arī ar projekta īstenošanas nodrošināšanu, ņemot vērā noteikumu projekta 19.15.apakšpunktā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projekta vadības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apakšpunkts redakcionāli precizēts atbilstoši norādītajam. Saistībā ar 19.14. apakšpunktā minētajām izmaksām, tās var tikt ietvertas atbilstošās darbības apakšpunktos, piemēram, ja, īstenojot projektu, ir nepieciešams piesaistīt ēku apsaimniekošanas ekspertu vai būvuzraugu, izmaksas būs atbilstošas 17.1. vai 17.2. apakšpunktos minētajām atbalstāmajām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energosertifikācijas, ekspertīzes un izpētes izmaksas, ja to veikšana ir priekšnosacījums, lai izstrādātu būvprojektu, būvdarbu ieceres dokumentāciju vai būvprojektu minimālā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19.3.apakšpunkts būtu apvienojams ar noteikumu projekta 19.1. apakšpunktu, ņemot vērā vadlīniju attiecināmo izmaksu noteikšanai Eiropas Savienības Kohēzijas politikas programmas 2021.-2027.gada plānošanas periodā 10.2.apakšpunktā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un 19.1. apakšpunkti apvienoti.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 ēkas un ar to saistītās infrastruktūras būvniecība, tai skaitā iekārtu un tāda aprīkojuma iegāde un uzstādīšana, kas paredzēts būvprojektā un nepieciešams būves vai tās daļas pieņemšanai ekspluatācijā vai kas nepieciešams ēkas funkcionalitātes nodrošināšanai un veido ēkas inženiertīklus. Atbalstāma ir "zaļās" infrastruktūras risinājumu izmantošana, tai skaitā telpu dzesēšanas un ventilācijas risinājumi, kuri nodrošina tādu iekštelpu gaisa apmaiņu un ventilāciju, kas mazina kaitējumu veselībai un novērš ekstremālas gaisa temperatūras maiņas ietekmi uz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norādot "funkcionāli saistītās", lai izvairītos no plašākas interpretācijas nekā skaidrots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 ēkas un ar to funkcionāli saistītās infrastruktūras būvniecība, tai skaitā iekārtu un tāda aprīkojuma iegāde un uzstādīšana, kas paredzēts būvprojektā un nepieciešams būves vai tās daļas pieņemšanai ekspluatācijā vai kas nepieciešams ēkas funkcionalitātes nodrošināšanai un veido ēkas inženiertīklus. Atbalstāma ir "zaļās" infrastruktūras risinājumu izmantošana, tai skaitā telpu dzesēšanas un ventilācijas risinājumi, kuri nodrošina tādu iekštelpu gaisa apmaiņu un ventilāciju, kas mazina kaitējumu veselībai un novērš ekstremālas gaisa temperatūras maiņas ietekmi uz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būves un ar to funkcionāli saistītās infrastruktūras būvniecība,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 tai skaitā vides un informācijas pieejamības nodrošināšanas izmaksas. Atbalstāma ir "zaļās" infrastruktūras vai dabā balstītu risinājumu izmantošana infrastruktūrā un konstrukcijās;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telpu aprīkojuma iegādes un uzstādīšanas izmaksas dabas un vides izglītības centru funkcionalitātei un izglītības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projekta 19.8.punktā noteikto izmaksu būtību, norādot, vai ar tekstu "telpu aprīkojuma iegāde" ir domātas darba vietas aprīkojuma iegādes vai nomas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19.6. apakšpunktā minētās izmaksas nošķirot no 19.16.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telpu aprīkojuma iegādes un uzstādīšanas izmaksas dabas un vides izglītības centru funkcionalitātei un izglītības procesa nodrošināšanai, izņemot izmaksas, kas minētas šo noteikumu </w:t>
            </w:r>
            <w:r w:rsidR="00000000" w:rsidRPr="00000000" w:rsidDel="00000000">
              <w:rPr>
                <w:rtl w:val="0"/>
              </w:rPr>
              <w:t xml:space="preserve">20.16.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19.16. izmaksas, kas saistītas ar papildu ekspertu piesaisti īslaicīgu un specifisku darbu veikšanai projekta īstenošanas laikā uz uzņēmuma (pakalpojuma) līguma pamata, piemēram, sugu un biotopu eksperts, ēku apsaimniekošanas eksperts, būvuzraugs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papildus ekspertu uzskaitījumu, iekļaujot arī vides piekļūstamības ekspertu konsultācijas. Paskaidrojam, ka vides piekļūstamības ekspertu piesaiste ir minēta anotācijā arī kā viena no horizontālā principa "Vienlīdzība, iekļaušana, nediskriminācija un pamattiesību ievērošana specifiskajām darbībām, kā arī MK noteikumu 29.10. punktā ir noteikts pienākums finansējuma saņēmējam uzkrāt datus par konsultatīva rakstura pasākumiem par būvētās vides piekļūstamību personām ar dažādiem funkcionāliem traucējumiem. Attiecīgi, lai finansējuma saņēmējs varētu praksē īstenot šos pasākumus, tiem būtu jāparedz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19.14. apakšpunktā norādītie papildus eksperti tika minēti tikai kā piemērs, tāpēc to uzskaitījums noslēdzās ar saīsinājumu u.c. (un citi), kas neierobežo finansējuma saņēmēja iespēju piesaistīt dažādus ekspertus, kas nepieciešami projekta veiksmīgai īstenošanai, tostarp arī vides piekļūstamības ekspertu, ja tāds, projektu īstenojot, finansējuma saņēmējam būs nepieciešams, lai īstenotu horizontālā principa “Vienlīdzība, iekļaušana, nediskriminācija un pamattiesību ievērošana” veiksmīgu ievērošanu un integrāciju projekta darbībās. Ekspertu piemēru uzskaitījums no noteikumu projekta ir izņemta, taču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izmaksas, kas saistītas ar papildu ekspertu piesaisti īslaicīgu un specifisku darbu veikšanai projektu īstenošanas laikā uz uzņēmuma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19.16. izmaksas, kas saistītas ar papildu ekspertu piesaisti īslaicīgu un specifisku darbu veikšanai projekta īstenošanas laikā uz uzņēmuma (pakalpojuma) līguma pamata, piemēram, sugu un biotopu eksperts, ēku apsaimniekošanas eksperts, būvuzraugs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uzskaitītās izmaksas ir pakalpojumi, par ko jāveic attiecīgs iepirkums. Lūdzam neizdalīt šos konkrētos pakalpojumus atsevišķi no citiem projekta ietvaros veicamajiem pakalpojumiem, ja vien tam nav pamatots iemesls.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var tikt piesaistīti projekta gaitā īslaicīgu un specifisku darbu veikšanai projekta īstenošanas laikā funkcijām, kādas finansējuma saņēmējs nenodrošina. Eksperti terminēto darbu veikšanai tiks piesaistīti, slēdzot uzņēmuma (pakalpojuma) līgumu, un izmaksas netiks segtas no MK noteikumu projekta 19.13. apakšpunktā minētajām personāla atlīdzības izmaksām. Punkts izdalīts atsevišķi, lai Dabas aizsardzības pārvalde varētu piesaistīt projekta īstenošanai nepieciešamo speciālistu pakalpojumus, kādus pati iestāde nodrošināt nevar. Ekspertu uzskaitījums no MK noteikumu projekta dzēsts, taču piemēru uzskaitījums atstāts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izmaksas, kas saistītas ar papildu ekspertu piesaisti īslaicīgu un specifisku darbu veikšanai projektu īstenošanas laikā uz uzņēmuma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19.18. darba vietas aprīkojuma iegādes vai nomas izmaksas jaunu darba vietu radīšanai vai esošo darba vietu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vadlīniju attiecināmo izmaksu noteikšanai Eiropas Savienības kohēzijas politikas programmas 2021.-2027.gada plānošanas periodā 9.18. apakšpunktu, lūdzam aizstāt vārdus "vai esošo darba vietu atjaunošanai" ar vārdiem "vai gadījumos, ja esošo darba vietu aprīkojums ir nolietojies un tiek norakstīts",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un anotācijā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darba vietas aprīkojuma iegādes vai nomas izmaksas jaunu darba vietu radīšanai vai gadījumos, ja esošo darba vietu aprīkojums ir nolietojies un tiek norakstīts,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19.19. ar projekta darbībām tieši saistīto publicitātes pasākumu izmaksas, kas veiktas saskaņā ar normatīvo aktu par kārtību, kādā Eiropas Savienības fondu vadībā iesaistītās institūcijas nodrošina šo fondu ieviešanu 2021.–2027.gada plānošanas periodā,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19.19.apakšpunktu, svītrojot norādi uz tajā minēto normatīvo aktu, ņemot vērā, ka tajā nav noteiktas komunikācijas un vizuālās identitātes prasību nodrošināšanas izmaksas, bet to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minētajā tiesību aktā nav noteiktas izmaksas komunikācijas un vizuālās identitātes prasību nodrošināšanai, bet to saturs, 19.17. apakšpunkts nosaka, ka jāveic komunikācijas un vizuālās identitātes prasību nodrošināšanas pasākumus saskaņā ar normatīvajiem aktiem, ievērojot 19.17. apakšpunktā noteikto izmaksu apmēru, un attiecināmas izmaksas ir paredzētas tikai par darbībām, kas veiktas saskaņā ar minētajiem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ar projekta darbībām tieši saistīto komunikācijas un vizuālās identitātes prasību nodrošināšanas izmaksas, nepārsniedzot vienu procentu no projekta kopējām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netiešās attiecināmās izmaksas atbalstāmo darbību īstenošanai, kas nav iekļautas </w:t>
            </w:r>
            <w:r w:rsidR="00000000" w:rsidRPr="00000000" w:rsidDel="00000000">
              <w:rPr>
                <w:rtl w:val="0"/>
              </w:rPr>
              <w:t xml:space="preserve">19.18. </w:t>
            </w:r>
            <w:r w:rsidR="00000000" w:rsidRPr="00000000" w:rsidDel="00000000">
              <w:rPr>
                <w:rtl w:val="0"/>
              </w:rPr>
              <w:t xml:space="preserve">apakšpunktā</w:t>
            </w:r>
            <w:r w:rsidR="00000000" w:rsidRPr="00000000" w:rsidDel="00000000">
              <w:rPr>
                <w:rtl w:val="0"/>
              </w:rPr>
              <w:t xml:space="preserve">, plāno kā vienu izmaksu pozīciju, piemērojot netiešo izmaksu vienoto likmi septiņu procentu apmērā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tiešajām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tiek saprasts ar vārdiem "kas nav iekļautas 19.18.apašpunktā", nepieciešamības gadījumā pārskatot šī apakšpunkta redakciju, piemēram, iekļaujot, kuru darbību īstenošanai tiek plānotas projekta netiešās attiecināmās izmaksas (nevis, kas nav iekļautas).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punkts precizēts atbilstoši norādītajam, nosakot, ka netiešās attiecināmās izmaksas plānojamas septiņu procentu apmērā no visām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netiešās attiecināmās izmaksas atbalstāmo darbību īstenošanai plāno kā vienu izmaksu pozīciju, piemērojot netiešo izmaksu vienoto likmi septiņu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maksājumi, kas tiešā veidā saistīti ar projektu, uzskatāmi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apakšpunktu,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23.punktā pilno Regulas 2021/1060 nosaukumu un pieņemšanas datumu, ņemot vērā, ka iepriekš netika atrunāts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atrunāts 19.13.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maksājumi, kas tiešā veidā saistīti ar projektu, uzskatāmi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apakšpunktu,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attiecināms, projekta ietvaros, veicot publiskos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"Ja attiecināms", lai nodrošinātu klimatneitralitātes mērķu sasniegšanu. Valsts pārvaldes iestādēm veicot publiskos iepirkumus jānodrošina maksimāla sasaiste ar virzību uz kliamtneitralitāti, t.sk. zemu emisiju būvniecības materiālu un procesu izvēlē.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veicot publiskos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Zaļais publiskais iepirkums ir atbalstāms, tomēr, lai neierobežotu finansējuma saņēmēju, ja kādam iepirkumam nav iespējams nodrošināt zaļo publisko iepirkumu pieejamā finansējuma ietvaros, projektu iesnieguma vērtēšanas kritēriju metodikā specifiskā atbilstības kritērija Nr. 2.11. skaidrojumā noteikts, ka, zaļais publiskais iepirkums ir jāveic visos gadījumos, kur tas attiecināms un iespējams, vai jāsniedz pamatojums, ja kāda iemesla dēļ tas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veicot publiskos iepirkumus, nodrošina vides prasību integrāciju preču, pakalpojumu un būvdarbu iepirkumos (zaļais publiskais iepirkums), kā arī, ja attiecināms, publiskos iepirkumus īsteno sociāli atbildīgā veidā, piemērojot sociāli atbildīgā publiskā iepirkuma un inovatīvā publiskā iepirkuma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nodrošina komunikācijas un vizuālās identitātes prasību izpildi, kas noteiktas </w:t>
            </w:r>
            <w:r w:rsidR="00000000" w:rsidRPr="00000000" w:rsidDel="00000000">
              <w:rPr>
                <w:i w:val="1"/>
                <w:rtl w:val="0"/>
              </w:rPr>
              <w:t xml:space="preserve">regulas Nr. </w:t>
            </w:r>
            <w:r w:rsidR="00000000" w:rsidRPr="00000000" w:rsidDel="00000000">
              <w:rPr>
                <w:rtl w:val="0"/>
              </w:rPr>
              <w:t xml:space="preserve">2021/1060</w:t>
            </w:r>
            <w:r w:rsidR="00000000" w:rsidRPr="00000000" w:rsidDel="00000000">
              <w:rPr>
                <w:rtl w:val="0"/>
              </w:rPr>
              <w:t xml:space="preserve"> 47. un 50. pantā un normatīvajos aktos,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29.1. apakšpunktā norādīta atsauce uz nesaistošiem dokumentiem (vadlīnijām). Ņemot vērā minēto, lūdzam visā noteikumu projektā svītrot atsauces uz nesaistošiem dokumentiem (vadlīnijām)un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prasību izpildi, kas noteiktas </w:t>
            </w:r>
            <w:r w:rsidR="00000000" w:rsidRPr="00000000" w:rsidDel="00000000">
              <w:rPr>
                <w:i w:val="1"/>
                <w:rtl w:val="0"/>
              </w:rPr>
              <w:t xml:space="preserve">regulas Nr. </w:t>
            </w:r>
            <w:r w:rsidR="00000000" w:rsidRPr="00000000" w:rsidDel="00000000">
              <w:rPr>
                <w:rtl w:val="0"/>
              </w:rPr>
              <w:t xml:space="preserve">2021/1060</w:t>
            </w:r>
            <w:r w:rsidR="00000000" w:rsidRPr="00000000" w:rsidDel="00000000">
              <w:rPr>
                <w:rtl w:val="0"/>
              </w:rPr>
              <w:t xml:space="preserve"> 47. un 50. pantā un normatīvajos aktos,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komunikācijas un vizuālās identitātes prasību izpildi, kas noteiktas regulas Nr.</w:t>
            </w:r>
            <w:r w:rsidR="00000000" w:rsidRPr="00000000" w:rsidDel="00000000">
              <w:rPr>
                <w:i w:val="1"/>
                <w:rtl w:val="0"/>
              </w:rPr>
              <w:t xml:space="preserve"> </w:t>
            </w:r>
            <w:r w:rsidR="00000000" w:rsidRPr="00000000" w:rsidDel="00000000">
              <w:rPr>
                <w:rtl w:val="0"/>
              </w:rPr>
              <w:t xml:space="preserve">2021/1060</w:t>
            </w:r>
            <w:r w:rsidR="00000000" w:rsidRPr="00000000" w:rsidDel="00000000">
              <w:rPr>
                <w:rtl w:val="0"/>
              </w:rPr>
              <w:t xml:space="preserve"> 47. un 50. pantā un normatīvajos aktos,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nodrošina,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29.3.apakšpunktu aiz vārda "instrumentiem" ar vārdiem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29.3.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ka projektā plānotie darbi netiek finansēti vai līdzfinansēti, kā arī nav plānots tos finansēt vai līdzfinansēt no citiem valsts vai ārvalstu finanšu atbalsta instrumentiem un nodrošina dubultā finansējuma neiestāšanos;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izstrādā nosacījumus, kā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29.6. apakšpunktu ar norādi, ka finansējuma saņēmējs izstrādā nosacījumus ne tikai par interešu konflikta, bet arī par krāpšanas un korupcijas risku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29.6. apakšpunktu ar norādi, ka finansējuma saņēmējs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anotācijas 1.3. sadaļu ar skaidrojumu par interešu konflikta neesamības nodrošināšanu, tostarp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publiskos iepirkumus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29.6. apakšpunktā un anotācijas sadaļas "Risinājuma apraksts" apakšsadaļā "Citi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finansējuma saņēmējs paraksta interešu konflikta neesamības apliecinājumu un izstrādā nosacījumus, kā pārliecinās par interešu konflikta un krāpšanas un korupcijas risku neesamību, tostarp identificē apstākļus, kuri izraisa vai var izraisīt interešu konfliktu vai radīt krāpšanas un korupcijas riskus, kas rada apdraudējumu vai kaitējumu projekta īstenošanā, nosaka veicamos pasākumus un izstrādā darbības plānu interešu konflikta, krāpšanas un korupcijas preventīvai novēršanai un gadījumiem, kad interešu konflikts vai krāpšanas un korupcijas gadījumi ir atklāti;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nodrošina, ka nekustamais īpašums, kurā tiks veiktas projektā paredzētās darbības, ir projekta iesniedzēja īpašumā vai valdījumā visā projekta dzīves cikla laikā (amortizācijas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skaidrus un nepārprotamus nosacījumus finansējuma saņēmējam, lūdzam svītrot noteikumu projektā (29.5.; 29.7.apakšpunktā un 30 punktā) aiz vārdiem “projekta dzīves cikla laikā” frāzi “(amortizācijas periods)”. Vēršam uzmanību, ka projekta dzīves cikla ilgums un projekta infrastruktūras amortizācijas periods var būt atšķirīgs laika posms, kā arī abi šie termini ietver atšķirīgus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kāds būs potenciālais projekta ietvaros radītās infrastruktūras amortizācijas periods, vai tas būs vienāds ar projekta dzīves cikla ilgumu, kā arī norādīt citus aspektus, ja nepieciešams, kas savstarpēji saistīti ar projekta dzīves ciklu un projekta ietvaros radītās infrastruktūras amortizācijas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norādīto informāciju anotācijā, aizstājot šobrīd anotācijā norādīto atsauci uz Komisijas 2014.gada 3.marta Deleģēto Regulu (ES) Nr. 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jo tā neattiecas uz Eiropas Savienības kohēzijas politikas programmu 2021.-2027.gadam ar  atsauci uz Eiropas Komisijas ekonomiskā novērtējuma vadlīnijām “Economic Appraisal Vademecum 2021-2027” (pieejama tīmekļa vietnē: https://ec.europa.eu/regional_policy/en/newsroom/news/2021/09/20-09-2021-project-selection-the-economic-appraisal-vademecum), kas pēc būtības ir kā papildinājums Eiropas Komisijas izstrādātajām 2014.-2020. gada plānošanas perioda vadlīnijām “Guide to Cost-Benefit Analysis of Investment Projects Economic appraisal tool for Cohesion Policy 2014 – 2020” (pieejamas tīmekļa vietnē: https://op.europa.eu/en/publication-detail/-/publication/120c6fcc-3841-4596-9256-4fd709c49ae4).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minētajām vadlīnijām projekta dzīves cikla ilgums vairs nav noteikts atbilstoši nozaru griezumam – proti, projekta dzīves ciklu var noteikt MK noteikumu par investīcijas īstenošanu ietvaros, vai arī ļaut to izvēlēties projekta iesniedzējam atbilstoši pasākuma loģikai.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mazinātu risku par būtisku izmaiņu rašanos projektā, lūdzam papildināt noteikuma projekta 29.7. apakšpunktu vai anotāciju ar nosacījumu, ka noteikumu projekta 29.7. apakšpunktā minētās īpašuma tiesības (īpašumā, valdījumā) ir nostiprinātas Valsts vienotajā datorizētajā zemesgrāmatā.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nodrošina, ka nekustamais īpašums, kurā tiks veiktas projektā paredzētās darbības, ir projekta iesniedzēja īpašumā vai valdījumā projekta īstenošanas laikā un vismaz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 veiktā vides un informācijas piekļūstamības pašnovērtējuma rezultātu atbilstoši Labklājības ministrijas izstrādātajai metodikai un pašnovērtējumā iegūto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horizontālā principa rādītāja redakciju atbilstoši Vadlīnijām horizontālā principa “Vienlīdzība, iekļaušana, nediskriminācija un pamattiesību ievērošana” īstenošanai un uzraudzībai (2021-2027) [1]. Paskaidrojam, ka KP VIS tiek ievadītas redakcijas atbilstoši minētajās vadlīnijās definētajām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vides un informācijas piekļūstamības pašnovērtējumu skaits, atbilstoši LM izstrādātajai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29.10.2. apakšpunkta precizējumi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 veikto vides un informācijas piekļūstamības pašnovērtējumu skaitu atbilstoši Labklājības ministrijas izstrādātajai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29.11.4. nodrošina atjaunoto, pārbūvēto un jaunbūvēto ēku un ar to saistītās infrastruktūras energoresursu patēriņu tikai no atjaunīgajiem energoresursiem. Prasība projekta pēcuzraudzības periodā ir uzskatāma par izpildītu, ja atjaunīgo energoresursu īpatsvars ēkā un ar to saistītajā infrastruktūrā sastāda vismaz 80 %.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neparedzot apakšpunktā vienlaikus "tikai no", kas nozīmē 100% patēriņu, un "vismaz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ka tiek vērtēts enerģijas nevis energoresursu patēriņš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29.11.4. nodrošina, ka vismaz 80 % atjaunoto, pārbūvēto un jaunbūvēto ēku un ar to saistītās infrastruktūras patērētās enerģijas ir ražota no atjaunīgiem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29.11.4.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30.11.4. nodrošina atjaunoto, pārbūvēto un jaunbūvēto ēku un ar to saistītās infrastruktūras enerģijas patēriņu no atjaunīgajiem energoresursiem projekta pēcuzraudzības periodā. Prasība projekta pēcuzraudzības periodā ir uzskatāma par izpildītu, ja patērētās enerģijas no atjaunīgajiem energoresursiem īpatsvars ēkā un ar to saistītajā infrastruktūrā sastāda vismaz 80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(rindkopu, kas sākas ar vārdiem "2.2.3.2 pasākuma ietvaros ir paredzēts viens projekts,….") ar norādi, ka plānotā projekta pamatā ir darbības, kas vērstas uz infrastruktūras pielāgošanu un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nosacījumu, ka projekta īstenošanas laikā tiks pārvērtēta iespēja piemērot kādu no vienkāršoto izmaksu iespējām, izstrādājot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dabas izglītības speciālistu mēnešalgas grupas līmeni uz 9 II 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precizēt/svītrot vārdus "to atlīdzībai noteikto atalgojuma viduspunktu" anotācijas vienotās likmes aprēķina rindkopas 2) punktā, ņemot vērā, ka aprēķinā izmantotās algas atšķiras no viduspunkta, kā arī atlīdzības apmērs ir finansējuma saņēmēja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terminoloģiju, attiecīgajās vietās precizējot no "personāla atlīdzības izmaksu likmes apmērs" uz "vienotās likmes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izvērtēt, vai sadaļā "Horizontālie principi"  ietvertā informācija par horizontālo principu "Vienlīdzība, iekļaušana, nediskriminācija un pamattiesību ievērošana" (turpmāk - HP VINPI) nedublē anotācijas 8.1.9. un 8.1.10. sadaļās sniegto informāciju par vispārīgajām un specifiskajām HP darbībām. Pie pašreizējās situācijas apraksta būtu pietiekami minēt, ka pasākumam ir netieša ietekme un HP VINPI un pārējo informāciju pārcelt uz 8.1.9., 8.1.10. un 8.2. sadaļām.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informācija par HP VINPI kritērija ievērošanu un prasībām nav pārcelti uz 8. anotācijas sadaļu dokumenta strukturētības labad, jo 1.3. sadaļas "Risinājuma apraksts" apakšsadaļā "Horizontālie principi" apkopotā veidā ietverta informācija par visiem projektam attiecināmajiem horizontālajiem principiem un to piemērošanu, tostarp arī HP VINPI.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teikumu "projekta iesniedzēja īpašumā esošs zemesgabals vai zemesgabali, uz kuriem atrodas ēka vai kuri vismaz vienā punktā skar ēkas ārējās kontūras" ar valdījuma tiesībām, kas paredzētas noteikumu 29.7. apakšpunktā un minētas pārējā anotācijas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pēc iespējas izmērāmu sagaidāmo ietekmi uz tautsaimniecību, piemēram, tūristu skaita pieaugums u.c.. Atgādinām,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norādi uz Dabas aizsardzības pārvaldi, kura pildīs finansējuma saņēmēja funkcijas, un Vides aizsardzības un reģionālās attīstības ministriju, kura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punktā “Cita informācija” norādīto 2.tabulu ar prognozētajām uzturēšanas izmaksām projektu pēc ieviešanas periodā noformēt kā anotācijas pielikumu, attiecīgi anotācijas 3.sadaļas punktā “Cita informācija” norādot tikai kopsummas un norādot atsauci uz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aprēķinu tabula pieejama anotācijas pielikumā, anotācijas 3. sadaļā pievienota konsolidēta tabulas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5.1.apakšpunkts 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sadaļas 1. tabulu ar atsauci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atsauces nepieciešamību uz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61.pantu, ņemot vērā, ka noteikumu projektā nav minēts šīs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5.4. anotācijas sadaļas 1. tabula </w:t>
            </w:r>
            <w:r w:rsidR="00000000" w:rsidRPr="00000000" w:rsidDel="00000000">
              <w:rPr>
                <w:i w:val="1"/>
                <w:rtl w:val="0"/>
              </w:rPr>
              <w:t xml:space="preserve">Tiesību akta projekta atbilstība ES tiesību aktiem. </w:t>
            </w:r>
            <w:r w:rsidR="00000000" w:rsidRPr="00000000" w:rsidDel="00000000">
              <w:rPr>
                <w:rtl w:val="0"/>
              </w:rPr>
              <w:t xml:space="preserve">Tomēr atsauci anotācijā</w:t>
            </w:r>
            <w:r w:rsidR="00000000" w:rsidRPr="00000000" w:rsidDel="00000000">
              <w:rPr>
                <w:i w:val="1"/>
                <w:rtl w:val="0"/>
              </w:rPr>
              <w:t xml:space="preserve"> uz E</w:t>
            </w:r>
            <w:r w:rsidR="00000000" w:rsidRPr="00000000" w:rsidDel="00000000">
              <w:rPr>
                <w:rtl w:val="0"/>
              </w:rPr>
              <w:t xml:space="preserv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61.pantu esam atstājuši, ņemot vērā, ka, pamatojoties uz šī tiesību akta konkrēto pantu, izstrādāts noteikumu projekta 29.6. apakšpunkts, kur attiecīgi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 un 7.1. sadaļu ar norādi uz Vides aizsardzības un reģionālās attīstības ministriju. Papildus lūdzam izvērtēt un nepieciešamības gadījumā svītrot anotācijas 6.1. sadaļā norādi uz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informāciju par attiecīgās nozares/ jomas pārstāvošu biedrību, nodibinājumu, nevalstisko organizāciju  iesaisti noteikumu projekta izstrādē atbilstoši Ministru Prezidenta 2021.gada 7.septembra rezolūcijā Nr. 2021-1.1.1./50-50 noteiktajam: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nodibinājumi un biedrības tieši nav iesaistītas, taču tām bija iespēja iesaistīties publiskajā apspriešanā vai sniegt atzinumu starpinstitūciju saskaņošanas laikā. Šādu iespēju izmantoja Latvijas Pašvaldību savienība, kas noteikumu projektu saskaņoja bez iebildumiem un priekšlikumiem. Eiropas Savienības fondu 2021.-2027.gada plānošanas perioda 2.politikas mērķa “Zaļāka Eiropa” apakškomitejas sēdē 2023. gada 28. septembrī, kurā tika skatīti 2.2.3.2. pasākuma projekta iesnieguma vērtēšanas kritēriji, piedalījās un savu viedokli pārstāvēja biedrības un nodibinājumi: biedrība "Rīgas un Pierīgas pašvaldību apvienība "Rīgas metropole"", biedrība "Latvijas Lielo pilsētu asociācija", Latvijas Lauku forums, Latvijas Jaunatnes Padome, Latvijas Lielo pilsētu asociācija, Vides konsultatīvā padome, Latvijas Ūdensapgādes un kanalizācijas uzņēmumu asociācija, Latvijas Pašvaldību savienība, Reģionālo attīstības centru un novadu apvienība. Vides konsultatīvā padome piedalījās arī projekta iesnieguma kritēriju saskaņošanas rakstiskajā procedūrā. Skatīt papildinājumus anotācijas 6.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sadaļā noteikts, ka, īstenojot projektu, projekta pēcuzraudzības laikā un pēc tā, tiks radītas astoņas jaunas darba vietas dabas izglītības speciālistiem, lai nodrošinātu dabas izglītības centru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 punktā ir noteiktas institūcijas, no kurām nepieciešams saņemt projekta saskaņojumu. Atbilstoši minēto noteikumu 52.2.1. apakšpunktā noteiktajam ir nepieciešams saņemt atzinumu (projekta saskaņojumu) no Valsts kancelejas, ja projekts attiecas uz valsts pārvaldes institucionālo uzbūvi un darbības principiem, kā arī amata vietu skaita un atlīdzības (izņemot pedagogu)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saskaņot noteikumu projektu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un otrreizējā starpinstitūciju saskaņošanā tiks lūgts atzinums arī no Valsts kancelejas.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8.1.2.apakšsadaļu, ņemot vērā noteikumu projekta 19.6.apakšpunktā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2.2.3.2. pasākuma atbalstāmajām darbībām ir minētas "jaunu dabas un vides izglītības centru un tiem nepieciešamās infrastruktūras būvniecība, tostarp teritorijas labiekārtošana" un "esošo ēku infrastruktūras atjaunošana vai pārbūve, pielāgojot to dabas un vides izglītības centra vajadzībām, tostarp teritorijas labiekārtošana". Vai paredzēts, ka iesniegto projektu ietvaros, veicot infrastruktūras būvniecību, tiks domāts par atjaunotās/būvētās infrastruktūras piekļūstamību personār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2.novembra Eiropas Savienības fondu 2021.-2027. gada finanšu plānošanas perioda Uzraudzības komitejas Lēmumam Nr. L-2023/21-27/75 apstiprināti 2.2.3.2. pasākuma 1. kārtas projekta iesnieguma vērtēšanas kritēriji, kuru ietvaros projektam izvirzīts Horizontālā principa “Vienlīdzība, iekļaušana, nediskriminācija un pamattiesību ievērošana” specifiskais atbilstības kritērijs. Anotācijas sadaļas "Risinājuma apraksts" apakšsadaļā Horizontālie principi skaidrota atbilstība Labklājības ministrijas administrētajam horizontālajam principam “Vienlīdzība, iekļaušana, nediskriminācija un pamattiesību ievērošana” (turpmāk - HP VINPI) saskaņā ar Labklājības ministrijas vadlīnijām par HP VINPI īstenošanu un uzraudzību (https://www.lm.gov.lv/lv/media/22182/download?attachment). Papildināta anotācijas 8.1.9.sadaļa ar minētā kritērija praktisko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un anotācijas 1.3. sadaļas apakšsadaļā “Risinājuma apraksts” sniegts skaidrojums, ka "</w:t>
            </w:r>
            <w:r w:rsidR="00000000" w:rsidRPr="00000000" w:rsidDel="00000000">
              <w:rPr>
                <w:i w:val="1"/>
                <w:rtl w:val="0"/>
              </w:rPr>
              <w:t xml:space="preserve">ja pirms projekta apstiprināšanas būs radušās izmaksas, kas nav attiecināmas no ES fondu līdzekļiem, tas ir finansējuma saņēmēja risks, un izmaksas tiek segtas no finansējuma saņēmēja gada sākumā apstiprinātā budžeta ietvaros. Dabas aizsardzības pārvaldei kā VARAM pakļautības iestādei ik gadu tiek apstiprināts budžets, līdz ar to iespējas ir rīkoties tikai pieejamā budžeta ietvaros, neveicot no tā atkāpes, kas nozīmē, ka risks pirms projekta apstiprināšanas radītām izmaksām, kas nav attiecināmas no Eiropas Savienības fondu līdzekļiem, ir neliels</w:t>
            </w:r>
            <w:r w:rsidR="00000000" w:rsidRPr="00000000" w:rsidDel="00000000">
              <w:rPr>
                <w:rtl w:val="0"/>
              </w:rPr>
              <w:t xml:space="preserve">.". Ņemot vērā minēto, atkārtoti lūdzam papildināt Ministru kabineta sēdes protokollēmuma projektu ar jaunu punktu, nosakot finanšu plūsmas pirms projekta apstiprināšanas nodrošināšanas nosacījumus, skaidri norādot, no kāda finanšu avota tiks nodrošināta izmaksu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Eiropas Reģionālās attīstības fonda līdzfinansētā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pirmās atlases kārtas projekta iesnieguma apstiprināšanai sadarbības iestādē ar projekta īstenošanu saistītās izmaksas tiks segtas Dabas aizsardzības pārvaldei kārtējā gada sākumā apstiprinātā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MK noteikumu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23-TA-2111</w:t>
    </w:r>
    <w:r>
      <w:br/>
    </w:r>
    <w:r w:rsidR="00000000" w:rsidRPr="00000000" w:rsidDel="00000000">
      <w:rPr>
        <w:rtl w:val="0"/>
      </w:rPr>
      <w:t xml:space="preserve">11.06.2024. 14.19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23-TA-2111</w:t>
    </w:r>
    <w:r>
      <w:br/>
    </w:r>
    <w:r w:rsidR="00000000" w:rsidRPr="00000000" w:rsidDel="00000000">
      <w:rPr>
        <w:rtl w:val="0"/>
      </w:rPr>
      <w:t xml:space="preserve">11.06.2024. 14.19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Izziņa_23-TA-2111.docx</dc:title>
</cp:coreProperties>
</file>

<file path=docProps/custom.xml><?xml version="1.0" encoding="utf-8"?>
<Properties xmlns="http://schemas.openxmlformats.org/officeDocument/2006/custom-properties" xmlns:vt="http://schemas.openxmlformats.org/officeDocument/2006/docPropsVTypes"/>
</file>