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7DDCC" w14:textId="1A9FA8B7" w:rsidR="00470F6D" w:rsidRDefault="00470F6D" w:rsidP="00470F6D">
      <w:pPr>
        <w:spacing w:before="240" w:after="240"/>
        <w:rPr>
          <w:b/>
          <w:sz w:val="28"/>
        </w:rPr>
      </w:pPr>
      <w:r>
        <w:rPr>
          <w:b/>
          <w:sz w:val="28"/>
        </w:rPr>
        <w:t>26-TA-7</w:t>
      </w:r>
      <w:r w:rsidR="00257BB3">
        <w:rPr>
          <w:b/>
          <w:sz w:val="28"/>
        </w:rPr>
        <w:t>51</w:t>
      </w:r>
      <w:r>
        <w:rPr>
          <w:b/>
          <w:sz w:val="28"/>
        </w:rPr>
        <w:t>: Likumprojekts (Grozījumi)</w:t>
      </w:r>
    </w:p>
    <w:p w14:paraId="24B4BB18" w14:textId="44B56206" w:rsidR="00470F6D" w:rsidRDefault="00470F6D" w:rsidP="00257BB3">
      <w:pPr>
        <w:pStyle w:val="titleparagraph"/>
      </w:pPr>
      <w:r>
        <w:t xml:space="preserve">Grozījumi </w:t>
      </w:r>
      <w:r w:rsidR="00257BB3" w:rsidRPr="00257BB3">
        <w:rPr>
          <w:bCs/>
        </w:rPr>
        <w:t>Civilprocesa likumā</w:t>
      </w:r>
    </w:p>
    <w:p w14:paraId="0DE7E459" w14:textId="1C647133" w:rsidR="00293D94" w:rsidRPr="00293D94" w:rsidRDefault="00293D94" w:rsidP="00293D94">
      <w:r>
        <w:t>Iebildumi, kas iesniegti Finanšu ministrijai ārpus TAP</w:t>
      </w:r>
    </w:p>
    <w:tbl>
      <w:tblPr>
        <w:tblW w:w="14857" w:type="dxa"/>
        <w:tblInd w:w="-29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10"/>
        <w:gridCol w:w="1842"/>
        <w:gridCol w:w="4536"/>
        <w:gridCol w:w="4820"/>
        <w:gridCol w:w="2949"/>
      </w:tblGrid>
      <w:tr w:rsidR="00470F6D" w14:paraId="2762B0A5" w14:textId="77777777" w:rsidTr="00360B15">
        <w:tc>
          <w:tcPr>
            <w:tcW w:w="710" w:type="dxa"/>
            <w:shd w:val="clear" w:color="auto" w:fill="FFFFFF"/>
            <w:noWrap/>
            <w:tcMar>
              <w:top w:w="75" w:type="dxa"/>
              <w:left w:w="75" w:type="dxa"/>
              <w:bottom w:w="75" w:type="dxa"/>
              <w:right w:w="75" w:type="dxa"/>
            </w:tcMar>
            <w:vAlign w:val="center"/>
          </w:tcPr>
          <w:p w14:paraId="447A5558" w14:textId="77777777" w:rsidR="00470F6D" w:rsidRDefault="00470F6D" w:rsidP="00360B15">
            <w:pPr>
              <w:jc w:val="center"/>
              <w:rPr>
                <w:b/>
              </w:rPr>
            </w:pPr>
            <w:r>
              <w:rPr>
                <w:b/>
              </w:rPr>
              <w:t>Nr.p.k.</w:t>
            </w:r>
          </w:p>
        </w:tc>
        <w:tc>
          <w:tcPr>
            <w:tcW w:w="1842" w:type="dxa"/>
            <w:shd w:val="clear" w:color="auto" w:fill="FFFFFF"/>
            <w:noWrap/>
            <w:tcMar>
              <w:top w:w="75" w:type="dxa"/>
              <w:left w:w="75" w:type="dxa"/>
              <w:bottom w:w="75" w:type="dxa"/>
              <w:right w:w="75" w:type="dxa"/>
            </w:tcMar>
            <w:vAlign w:val="center"/>
          </w:tcPr>
          <w:p w14:paraId="2428F1B4" w14:textId="77777777" w:rsidR="00470F6D" w:rsidRDefault="00470F6D" w:rsidP="00360B15">
            <w:pPr>
              <w:jc w:val="center"/>
              <w:rPr>
                <w:b/>
              </w:rPr>
            </w:pPr>
            <w:r>
              <w:rPr>
                <w:b/>
              </w:rPr>
              <w:t>Saskaņošanai nosūtītā projekta redakcija</w:t>
            </w:r>
          </w:p>
        </w:tc>
        <w:tc>
          <w:tcPr>
            <w:tcW w:w="4536" w:type="dxa"/>
            <w:shd w:val="clear" w:color="auto" w:fill="FFFFFF"/>
            <w:noWrap/>
            <w:tcMar>
              <w:top w:w="75" w:type="dxa"/>
              <w:left w:w="75" w:type="dxa"/>
              <w:bottom w:w="75" w:type="dxa"/>
              <w:right w:w="75" w:type="dxa"/>
            </w:tcMar>
            <w:vAlign w:val="center"/>
          </w:tcPr>
          <w:p w14:paraId="64175D37" w14:textId="77777777" w:rsidR="00470F6D" w:rsidRDefault="00470F6D" w:rsidP="00360B15">
            <w:pPr>
              <w:jc w:val="center"/>
              <w:rPr>
                <w:b/>
              </w:rPr>
            </w:pPr>
            <w:r>
              <w:rPr>
                <w:b/>
              </w:rPr>
              <w:t>Iebildums / Priekšlikums</w:t>
            </w:r>
          </w:p>
          <w:p w14:paraId="51CD4CF9" w14:textId="0C6225D5" w:rsidR="00762B06" w:rsidRDefault="00762B06" w:rsidP="00360B15">
            <w:pPr>
              <w:jc w:val="center"/>
              <w:rPr>
                <w:b/>
              </w:rPr>
            </w:pPr>
          </w:p>
        </w:tc>
        <w:tc>
          <w:tcPr>
            <w:tcW w:w="4820" w:type="dxa"/>
            <w:shd w:val="clear" w:color="auto" w:fill="FFFFFF"/>
            <w:noWrap/>
            <w:tcMar>
              <w:top w:w="75" w:type="dxa"/>
              <w:left w:w="75" w:type="dxa"/>
              <w:bottom w:w="75" w:type="dxa"/>
              <w:right w:w="75" w:type="dxa"/>
            </w:tcMar>
            <w:vAlign w:val="center"/>
          </w:tcPr>
          <w:p w14:paraId="4C0ECA57" w14:textId="77777777" w:rsidR="00470F6D" w:rsidRDefault="00470F6D" w:rsidP="00360B15">
            <w:pPr>
              <w:jc w:val="center"/>
              <w:rPr>
                <w:b/>
              </w:rPr>
            </w:pPr>
            <w:r>
              <w:rPr>
                <w:b/>
              </w:rPr>
              <w:t>Apstrādes informācija</w:t>
            </w:r>
          </w:p>
        </w:tc>
        <w:tc>
          <w:tcPr>
            <w:tcW w:w="2949" w:type="dxa"/>
            <w:shd w:val="clear" w:color="auto" w:fill="FFFFFF"/>
            <w:noWrap/>
            <w:tcMar>
              <w:top w:w="75" w:type="dxa"/>
              <w:left w:w="75" w:type="dxa"/>
              <w:bottom w:w="75" w:type="dxa"/>
              <w:right w:w="75" w:type="dxa"/>
            </w:tcMar>
            <w:vAlign w:val="center"/>
          </w:tcPr>
          <w:p w14:paraId="6E755C4C" w14:textId="77777777" w:rsidR="00470F6D" w:rsidRDefault="00470F6D" w:rsidP="00360B15">
            <w:pPr>
              <w:jc w:val="center"/>
              <w:rPr>
                <w:b/>
              </w:rPr>
            </w:pPr>
            <w:r>
              <w:rPr>
                <w:b/>
              </w:rPr>
              <w:t>Galīgā redakcija</w:t>
            </w:r>
          </w:p>
        </w:tc>
      </w:tr>
      <w:tr w:rsidR="00470F6D" w14:paraId="1F9D148B" w14:textId="77777777" w:rsidTr="00360B15">
        <w:tc>
          <w:tcPr>
            <w:tcW w:w="14857" w:type="dxa"/>
            <w:gridSpan w:val="5"/>
            <w:shd w:val="clear" w:color="auto" w:fill="FFFFFF"/>
            <w:noWrap/>
            <w:tcMar>
              <w:top w:w="75" w:type="dxa"/>
              <w:left w:w="75" w:type="dxa"/>
              <w:bottom w:w="75" w:type="dxa"/>
              <w:right w:w="75" w:type="dxa"/>
            </w:tcMar>
            <w:vAlign w:val="center"/>
          </w:tcPr>
          <w:p w14:paraId="101F661D" w14:textId="77777777" w:rsidR="00470F6D" w:rsidRDefault="00470F6D" w:rsidP="00360B15">
            <w:r>
              <w:rPr>
                <w:b/>
              </w:rPr>
              <w:t>Izsludināšana: 02.04.2026. 14:30</w:t>
            </w:r>
          </w:p>
        </w:tc>
      </w:tr>
      <w:tr w:rsidR="00470F6D" w14:paraId="4CABF7B8" w14:textId="77777777" w:rsidTr="00360B15">
        <w:tc>
          <w:tcPr>
            <w:tcW w:w="710" w:type="dxa"/>
            <w:shd w:val="clear" w:color="auto" w:fill="FFFFFF"/>
            <w:noWrap/>
            <w:tcMar>
              <w:top w:w="75" w:type="dxa"/>
              <w:left w:w="75" w:type="dxa"/>
              <w:bottom w:w="75" w:type="dxa"/>
              <w:right w:w="75" w:type="dxa"/>
            </w:tcMar>
          </w:tcPr>
          <w:p w14:paraId="6829E033" w14:textId="77777777" w:rsidR="00470F6D" w:rsidRDefault="00470F6D" w:rsidP="00360B15">
            <w:r>
              <w:t>1.</w:t>
            </w:r>
          </w:p>
        </w:tc>
        <w:tc>
          <w:tcPr>
            <w:tcW w:w="1842" w:type="dxa"/>
            <w:shd w:val="clear" w:color="auto" w:fill="FFFFFF"/>
            <w:noWrap/>
            <w:tcMar>
              <w:top w:w="75" w:type="dxa"/>
              <w:left w:w="75" w:type="dxa"/>
              <w:bottom w:w="75" w:type="dxa"/>
              <w:right w:w="75" w:type="dxa"/>
            </w:tcMar>
          </w:tcPr>
          <w:p w14:paraId="298AFE36" w14:textId="77777777" w:rsidR="00470F6D" w:rsidRDefault="00470F6D" w:rsidP="00360B15">
            <w:pPr>
              <w:spacing w:after="240"/>
              <w:rPr>
                <w:b/>
              </w:rPr>
            </w:pPr>
            <w:r>
              <w:rPr>
                <w:b/>
              </w:rPr>
              <w:t>Likumprojekts (grozījumi)</w:t>
            </w:r>
          </w:p>
          <w:p w14:paraId="544736DB" w14:textId="3FDBB5DB" w:rsidR="00470F6D" w:rsidRDefault="00470F6D" w:rsidP="00360B15">
            <w:r>
              <w:t xml:space="preserve">Grozījumi </w:t>
            </w:r>
            <w:r w:rsidR="00257BB3">
              <w:t>Civilprocesa</w:t>
            </w:r>
            <w:r>
              <w:t xml:space="preserve"> likumā</w:t>
            </w:r>
          </w:p>
        </w:tc>
        <w:tc>
          <w:tcPr>
            <w:tcW w:w="4536" w:type="dxa"/>
            <w:shd w:val="clear" w:color="auto" w:fill="FFFFFF"/>
            <w:noWrap/>
            <w:tcMar>
              <w:top w:w="75" w:type="dxa"/>
              <w:left w:w="75" w:type="dxa"/>
              <w:bottom w:w="75" w:type="dxa"/>
              <w:right w:w="75" w:type="dxa"/>
            </w:tcMar>
          </w:tcPr>
          <w:p w14:paraId="738769BA" w14:textId="77777777" w:rsidR="00257BB3" w:rsidRPr="00293D94" w:rsidRDefault="00257BB3" w:rsidP="00257BB3">
            <w:pPr>
              <w:spacing w:after="240"/>
              <w:rPr>
                <w:b/>
              </w:rPr>
            </w:pPr>
            <w:r w:rsidRPr="00434067">
              <w:rPr>
                <w:b/>
              </w:rPr>
              <w:t xml:space="preserve">Iebildums </w:t>
            </w:r>
            <w:r w:rsidRPr="00293D94">
              <w:rPr>
                <w:b/>
              </w:rPr>
              <w:t>(SIA “Credit Solutions”– 20.04.2026)</w:t>
            </w:r>
          </w:p>
          <w:p w14:paraId="067D1C46" w14:textId="53713620" w:rsidR="00257BB3" w:rsidRPr="00257BB3" w:rsidRDefault="00257BB3" w:rsidP="00257BB3">
            <w:pPr>
              <w:spacing w:after="240"/>
            </w:pPr>
            <w:r w:rsidRPr="00257BB3">
              <w:t xml:space="preserve">SIA “Credit Solutions” (turpmāk – Sabiedrība) ir iepazinusies ar Finanšu ministrijas izstrādāto likumprojektu “Grozījumi Civilprocesa likumā” (turpmāk – Likumprojekts) un nepiekrīt </w:t>
            </w:r>
            <w:proofErr w:type="spellStart"/>
            <w:r w:rsidRPr="00257BB3">
              <w:t>piedāvatajām</w:t>
            </w:r>
            <w:proofErr w:type="spellEnd"/>
            <w:r w:rsidRPr="00257BB3">
              <w:t xml:space="preserve"> izmaiņām saistībā ar tiesiskajām sekām attiecībā uz Latvijas Bankas izskatāmajām lietām par patērētāju tiesību pārkāpumiem, kas saistīti ar patērētāju kolektīvajām prasībām. Šie grozījumi ir tieši saistīti ar plašāku institucionālo reformu, paredzot patērētāju tiesību aizsardzības funkciju pārdali finanšu sektorā, taču minētā reforma kopumā nav atbalstāma, jo nav pietiekami pamatota ne politikas plānošanas, ne normatīvā regulējuma kvalitātes ziņā.</w:t>
            </w:r>
          </w:p>
          <w:p w14:paraId="08B265FA" w14:textId="77777777" w:rsidR="00257BB3" w:rsidRPr="00257BB3" w:rsidRDefault="00257BB3" w:rsidP="00257BB3">
            <w:pPr>
              <w:spacing w:after="240"/>
            </w:pPr>
            <w:r w:rsidRPr="00257BB3">
              <w:lastRenderedPageBreak/>
              <w:t>Sabiedrība kopumā neatbalsta Patērētāju tiesību aizsardzības centra (turpmāk – PTAC) regulatīvo un uzraudzības funkciju pār nebanku kreditētājiem nodošanu Latvijas Bankai un attiecīgi iebilst pret Likumprojekta priekšlikumu. Sabiedrība uzskata, ka piedāvātā regulatora maiņa nav nepieciešama un var radīt arī pretēju efektu iecerētajam. Neraugoties uz reformu virzību, joprojām nav pietiekami skaidri pamatots, kādēļ šāda funkciju nodošana ir nepieciešama. Lai gan tiek norādīts, ka reformas mērķis ir samazināt administratīvo slogu un nodrošināt caurspīdīgu un vienotu kreditētāju uzraudzības un kontroles pieeju, pastāv pamatots risks, ka praksē tā varētu būtiski sarežģīt normatīvo un uzņēmējdarbības vidi, vienlaikus nesniedzot skaidrojumu, kā minētie mērķi tiks sasniegti. Turklāt līdz šim nav sniegti pierādījumi, kas apliecinātu PTAC nespēju pienācīgi pildīt tam noteikto uzraudzības funkciju un tādējādi attaisnotu uzraudzības pilnvaru nodošanu citai institūcijai. Sabiedrība uzskata, ka jebkurai normatīvā regulējuma reformai ir jābūt balstītai konkrētu trūkumu identificēšanā un izmērāmos uzlabojumos, nevis institucionālās struktūras pašas par sevi pārveidē.</w:t>
            </w:r>
          </w:p>
          <w:p w14:paraId="6B271605" w14:textId="77777777" w:rsidR="000D2695" w:rsidRDefault="00257BB3" w:rsidP="00257BB3">
            <w:pPr>
              <w:spacing w:after="240"/>
            </w:pPr>
            <w:r w:rsidRPr="00257BB3">
              <w:t xml:space="preserve">Sabiedrība iebilst pret grozījumiem Civilprocesa likumā, ar kuriem paredzēts paplašināt Civilprocesa likuma 214. panta 8. </w:t>
            </w:r>
            <w:r w:rsidRPr="00257BB3">
              <w:lastRenderedPageBreak/>
              <w:t>punkta, 218. panta 10. punkta un 250.</w:t>
            </w:r>
            <w:r w:rsidRPr="000D2695">
              <w:rPr>
                <w:vertAlign w:val="superscript"/>
              </w:rPr>
              <w:t>93</w:t>
            </w:r>
            <w:r w:rsidRPr="00257BB3">
              <w:t xml:space="preserve"> panta pirmās daļas regulējumu, attiecinot tajos ietvertās tiesiskās sekas arī uz Latvijas Bankas izskatāmajām lietām par patērētāju tiesību pārkāpumiem, kas saistīti ar patērētāju kolektīvajām prasībām.</w:t>
            </w:r>
          </w:p>
          <w:p w14:paraId="42116DAB" w14:textId="2DD8A462" w:rsidR="00257BB3" w:rsidRPr="00257BB3" w:rsidRDefault="00257BB3" w:rsidP="00257BB3">
            <w:pPr>
              <w:spacing w:after="240"/>
            </w:pPr>
            <w:r w:rsidRPr="00257BB3">
              <w:t>Civilprocesa likuma 214. panta 8. punkts šobrīd paredz tiesas pienākumu apturēt tiesvedību, ja Patērētāju tiesību aizsardzības centrs (PTAC) izskata lietu par patērētāju tiesību pārkāpumu, kas saistīts ar patērētāju kolektīvo prasību. Likumprojektā piedāvāts šo regulējumu paplašināt, ietverot arī gadījumus, kad attiecīgu lietu izskata Latvijas Banka. Tomēr šāds risinājums pats par sevi nav neitrāls tehniska precizējuma jautājums, bet gan loģiskas sekas institucionālai reformai, kuras nepieciešamība nav pietiekami pamatota. Ne Finanšu ministrijas informatīvajā ziņojumā, ne Likumprojekta anotācijā, ne arī galvenajā likumprojektā “Grozījumi Patērētāju tiesību aizsardzības likumā” nav sniegts izsvērts izvērtējums par to, kāpēc līdzšinējais modelis, kur PTAC īsteno patērētāju tiesību aizsardzību, būtu uzskatāms par neefektīvu vai nepietiekamu.</w:t>
            </w:r>
          </w:p>
          <w:p w14:paraId="31A90001" w14:textId="77777777" w:rsidR="00257BB3" w:rsidRPr="00257BB3" w:rsidRDefault="00257BB3" w:rsidP="00257BB3">
            <w:pPr>
              <w:spacing w:after="240"/>
            </w:pPr>
            <w:r w:rsidRPr="00257BB3">
              <w:t xml:space="preserve">Analogs iebildums attiecināms arī uz Civilprocesa likuma 218. panta 10. punktu, kas regulē tiesvedības apturēšanas termiņu līdz brīdim, kad PTAC ir pieņēmis lēmumu vai citā veidā izbeidzis lietas izpēti. </w:t>
            </w:r>
            <w:r w:rsidRPr="00257BB3">
              <w:lastRenderedPageBreak/>
              <w:t>Likumprojekts paredz aizstāt šo regulējumu ar formulējumu, kur minēta arī Latvijas Banka. Taču arī šajā gadījumā grozījums mehāniski pārnes uz Latvijas Banku tās procesuālās tiesiskās sekas, kuras līdz šim ir balstītas PTAC īpašajā lomā kā patērētāju kolektīvo interešu aizsardzības iestādei ar tam raksturīgu kompetenci, procedūrām un praksi. Likumprojektā nav vērtēts, vai Latvijas Bankas institucionālais uzdevumu loks un prioritātes ir salīdzināmai ar PTAC funkcijām patērētāju kolektīvo tiesību aizsardzībā, kā arī nav analizētas tiesību uz lietas izskatīšanu saprātīgā termiņā iespējamās sekas, ja tiesvedība tiek apturēta uz nenoteiktu laiku iestādes, kurai patērētāju kolektīvās prasības līdz šim nav bijusi primāra darbības joma, lietas izskatīšanas dēļ.</w:t>
            </w:r>
          </w:p>
          <w:p w14:paraId="3B71F9C2" w14:textId="77777777" w:rsidR="00257BB3" w:rsidRPr="00257BB3" w:rsidRDefault="00257BB3" w:rsidP="00257BB3">
            <w:pPr>
              <w:spacing w:after="240"/>
            </w:pPr>
            <w:r w:rsidRPr="00257BB3">
              <w:t>Īpaši problemātiski vērtējams paredzētais grozījums Civilprocesa likuma 250.</w:t>
            </w:r>
            <w:r w:rsidRPr="000D2695">
              <w:rPr>
                <w:vertAlign w:val="superscript"/>
              </w:rPr>
              <w:t>93</w:t>
            </w:r>
            <w:r w:rsidRPr="00257BB3">
              <w:t xml:space="preserve"> panta pirmajā daļā, paredzot, ka no pierādīšanas pienākuma patērētāju kolektīvajās prasībās atbrīvotu arī pārkāpumus, kas konstatēti ar spēkā stājušos Latvijas Bankas lēmumu. Šī norma rada būtisku procesuālu ietekmi uz civillietu izskatīšanu, jo iestādes administratīvajam lēmumam tiek piešķirta prejudiciāla nozīme tiesvedībā. Likumprojektā tomēr nav izvērtēts, vai Latvijas Bankas pieņemtie lēmumi pēc sava satura, procedūras, pierādījumu standarta un </w:t>
            </w:r>
            <w:r w:rsidRPr="00257BB3">
              <w:lastRenderedPageBreak/>
              <w:t>patērētāju interešu izvērtējuma apjoma ir pielīdzināmi PTAC lēmumiem tiesību aizsardzības kontekstā. Nav analizēts arī risks, ka šāda prejudiciāla iedarbība tiks piešķirta lēmumiem, kuri pamatā vērsti uz finanšu regulējuma un tirgus stabilitātes aspektiem, nevis uz patērētāju individuālo vai kolektīvo tiesību aizsardzību.</w:t>
            </w:r>
          </w:p>
          <w:p w14:paraId="1E8767B0" w14:textId="77777777" w:rsidR="00257BB3" w:rsidRPr="00257BB3" w:rsidRDefault="00257BB3" w:rsidP="00257BB3">
            <w:pPr>
              <w:spacing w:after="240"/>
            </w:pPr>
            <w:r w:rsidRPr="00257BB3">
              <w:t>Būtiski uzsvērt, ka visā reformas pamatojumā nav konstatējams secinājums par PTAC nespēju vai nepietiekamību veikt tam likumā uzticētās funkcijas patērētāju kreditēšanas pakalpojumu uzraudzībā. Nav identificētas konkrētas sistēmiskas nepilnības, kuru novēršana nebūtu iespējama, stiprinot iestāžu savstarpējo sadarbību, precizējot normatīvos aktus vai pilnveidojot metodoloģiju. Gluži pretēji – līdzšinējā regulējuma ietvaros PTAC ir izveidota stabila prakse patērētāju kolektīvo interešu aizsardzībā, reklāmas uzraudzībā un sūdzību izskatīšanā, kas arī ir pamats pašreizējam Civilprocesa likuma regulējumam.</w:t>
            </w:r>
          </w:p>
          <w:p w14:paraId="5CE7849F" w14:textId="4BA1871B" w:rsidR="00470F6D" w:rsidRDefault="00257BB3" w:rsidP="00257BB3">
            <w:r w:rsidRPr="00257BB3">
              <w:t xml:space="preserve">Ņemot vērā minēto, secināms, ka grozījumi Civilprocesa likumā nav izvērtējami atrauti no visas reformas kopuma. Tā kā pati reforma nav pienācīgi pamatota un nav sniegts pierādāms pamatojums patērētāju tiesību aizsardzības funkciju nodošanai Latvijas Bankai, nav arī pamata paplašināt Latvijas Bankas lēmumu procesuālās sekas </w:t>
            </w:r>
            <w:r w:rsidRPr="00257BB3">
              <w:lastRenderedPageBreak/>
              <w:t>civilprocesā. Tādējādi piedāvātie grozījumi Civilprocesa likuma 214. panta 8. punktā, 218. panta 10. punktā un 250.</w:t>
            </w:r>
            <w:r w:rsidRPr="000D2695">
              <w:rPr>
                <w:vertAlign w:val="superscript"/>
              </w:rPr>
              <w:t>93</w:t>
            </w:r>
            <w:r w:rsidRPr="00257BB3">
              <w:t xml:space="preserve"> pantā nav atbalstāmi, jo tie balstās uz nepietiekami pamatotu institucionālu pārbūvi un rada risku patērētāju kolektīvo tiesību aizsardzības sistēmas līdzsvaram un procesuālajai taisnīgumam.</w:t>
            </w:r>
          </w:p>
        </w:tc>
        <w:tc>
          <w:tcPr>
            <w:tcW w:w="4820" w:type="dxa"/>
            <w:shd w:val="clear" w:color="auto" w:fill="FFFFFF"/>
            <w:noWrap/>
            <w:tcMar>
              <w:top w:w="75" w:type="dxa"/>
              <w:left w:w="75" w:type="dxa"/>
              <w:bottom w:w="75" w:type="dxa"/>
              <w:right w:w="75" w:type="dxa"/>
            </w:tcMar>
          </w:tcPr>
          <w:p w14:paraId="0CCA361B" w14:textId="77777777" w:rsidR="00900B12" w:rsidRDefault="00900B12" w:rsidP="00900B12">
            <w:pPr>
              <w:rPr>
                <w:b/>
                <w:bCs/>
              </w:rPr>
            </w:pPr>
            <w:r w:rsidRPr="00D771D4">
              <w:rPr>
                <w:b/>
                <w:bCs/>
              </w:rPr>
              <w:lastRenderedPageBreak/>
              <w:t>Nav ņemts vērā</w:t>
            </w:r>
          </w:p>
          <w:p w14:paraId="448A5A5D" w14:textId="77777777" w:rsidR="00900B12" w:rsidRDefault="00900B12" w:rsidP="00900B12">
            <w:pPr>
              <w:jc w:val="center"/>
              <w:rPr>
                <w:b/>
                <w:bCs/>
              </w:rPr>
            </w:pPr>
          </w:p>
          <w:p w14:paraId="0AB9703D" w14:textId="21073EEE" w:rsidR="00900B12" w:rsidRDefault="00900B12" w:rsidP="00900B12">
            <w:pPr>
              <w:rPr>
                <w:b/>
                <w:bCs/>
              </w:rPr>
            </w:pPr>
            <w:r w:rsidRPr="001A0482">
              <w:rPr>
                <w:b/>
                <w:bCs/>
              </w:rPr>
              <w:t xml:space="preserve">I </w:t>
            </w:r>
            <w:r>
              <w:rPr>
                <w:b/>
                <w:bCs/>
              </w:rPr>
              <w:t>P</w:t>
            </w:r>
            <w:r w:rsidRPr="001A0482">
              <w:rPr>
                <w:b/>
                <w:bCs/>
              </w:rPr>
              <w:t>ar reformas pamato</w:t>
            </w:r>
            <w:r>
              <w:rPr>
                <w:b/>
                <w:bCs/>
              </w:rPr>
              <w:t>tību</w:t>
            </w:r>
          </w:p>
          <w:p w14:paraId="3B85FF24" w14:textId="77777777" w:rsidR="00B77E4A" w:rsidRPr="00F15CC9" w:rsidRDefault="00B77E4A" w:rsidP="00900B12">
            <w:pPr>
              <w:rPr>
                <w:b/>
                <w:bCs/>
              </w:rPr>
            </w:pPr>
          </w:p>
          <w:p w14:paraId="07138E75" w14:textId="77777777" w:rsidR="00900B12" w:rsidRDefault="00900B12" w:rsidP="00900B12">
            <w:r>
              <w:t>Skaidrojam, ka a</w:t>
            </w:r>
            <w:r w:rsidRPr="00E4498E">
              <w:t>r likumprojekt</w:t>
            </w:r>
            <w:r>
              <w:t>u pakotnē</w:t>
            </w:r>
            <w:r w:rsidRPr="00E4498E">
              <w:t xml:space="preserve"> ietvertajiem</w:t>
            </w:r>
            <w:r>
              <w:t xml:space="preserve"> 13 likumu</w:t>
            </w:r>
            <w:r w:rsidRPr="00E4498E">
              <w:t xml:space="preserve"> grozījumiem</w:t>
            </w:r>
            <w:r>
              <w:t>, tajā skaitā likumprojektu,</w:t>
            </w:r>
            <w:r w:rsidRPr="00E4498E">
              <w:t xml:space="preserve"> tiek pildīts Ministru kabineta 17.03.2026. sēdes protokollēmuma Nr. 15; 46. § 4. punktā  noteiktais, kas paredz to, ka Finanšu ministrijai sadarbībā ar Latvijas Banku, Ekonomikas ministriju un Tieslietu ministriju līdz 2026. gada 31. maijam nepieciešams izstrādāt un finanšu ministram iesniegt izskatīšanai Ministru kabineta sēdē grozījumus normatīvajos aktos, kas paredz šī protokollēmuma 2. punktā minēto funkciju nodošanu Latvijas Bankai ar 2027. gada 1. janvāri.</w:t>
            </w:r>
          </w:p>
          <w:p w14:paraId="144CDE1F" w14:textId="77777777" w:rsidR="00900B12" w:rsidRDefault="00900B12" w:rsidP="00900B12"/>
          <w:p w14:paraId="63F206E7" w14:textId="77777777" w:rsidR="00900B12" w:rsidRDefault="00900B12" w:rsidP="00900B12">
            <w:r>
              <w:t xml:space="preserve">Diskurss par patērētāju kreditēšanas uzraudzības sistēmas reformu jau pirms likumprojektu </w:t>
            </w:r>
            <w:r>
              <w:lastRenderedPageBreak/>
              <w:t xml:space="preserve">pakotnes izstrādes ir bijis ilgs un pietiekami izdiskutēts gan valsts institūciju, gan nozares nevalstiskā sektora ietvarā. </w:t>
            </w:r>
          </w:p>
          <w:p w14:paraId="56FFBC3C" w14:textId="77777777" w:rsidR="00900B12" w:rsidRPr="00D61B3D" w:rsidRDefault="00900B12" w:rsidP="00900B12">
            <w:r>
              <w:t xml:space="preserve">Diskusijas par </w:t>
            </w:r>
            <w:r w:rsidRPr="00F31FD1">
              <w:t>patērētāju kreditēšanas uzraudzības un licencēšanas, kā arī patērētāju tiesību un interešu aizsardzīb</w:t>
            </w:r>
            <w:r>
              <w:t>as</w:t>
            </w:r>
            <w:r w:rsidRPr="00F31FD1">
              <w:t xml:space="preserve"> finanšu sektorā nodošanu vienai institūcijai</w:t>
            </w:r>
            <w:r>
              <w:t xml:space="preserve"> </w:t>
            </w:r>
            <w:r w:rsidRPr="00F31FD1">
              <w:t>tika uzsākta</w:t>
            </w:r>
            <w:r>
              <w:t>s</w:t>
            </w:r>
            <w:r w:rsidRPr="00F31FD1">
              <w:t xml:space="preserve"> jau 2025. gada</w:t>
            </w:r>
            <w:r>
              <w:t xml:space="preserve"> </w:t>
            </w:r>
            <w:r w:rsidRPr="00F31FD1">
              <w:t xml:space="preserve">sākumā Ekonomikas ministrijas sagatavotā </w:t>
            </w:r>
            <w:r>
              <w:t>r</w:t>
            </w:r>
            <w:r w:rsidRPr="00F31FD1">
              <w:t xml:space="preserve">īcības plāna projekta ietvaros. Ar Ministru kabineta </w:t>
            </w:r>
            <w:r>
              <w:t xml:space="preserve">15.07.2025. </w:t>
            </w:r>
            <w:r w:rsidRPr="00F31FD1">
              <w:t xml:space="preserve"> rīkojumu Nr.422 “Rīcības plāns investīciju piesaistei un finanšu pieejamībai tautsaimniecībā” (prot. Nr. 28 50. §) tika apstiprināts Rīcības plāns, kura 14. virzienā Ekonomikas ministrija identificēj</w:t>
            </w:r>
            <w:r>
              <w:t>a</w:t>
            </w:r>
            <w:r w:rsidRPr="00F31FD1">
              <w:t xml:space="preserve"> kreditēšanas pakalpojumu sniedzēju sadrumstalotas uzraudzības problemātiku un attiecīgi uzdev</w:t>
            </w:r>
            <w:r>
              <w:t>a</w:t>
            </w:r>
            <w:r w:rsidRPr="00F31FD1">
              <w:t xml:space="preserve"> Finanšu ministrijai izstrādāt informatīvā ziņojum</w:t>
            </w:r>
            <w:r>
              <w:t xml:space="preserve">u ar </w:t>
            </w:r>
            <w:r w:rsidRPr="00D61B3D">
              <w:t xml:space="preserve">izvērtējumu par vienotas kreditētāju uzraudzības un kontroles institūcijas noteikšanu, tādējādi samazinot birokrātisko slogu un nodrošinot caurskatāmu vienotu pieeju kreditētāju uzraudzībā un kontrolē. Vienlaikus </w:t>
            </w:r>
            <w:r>
              <w:t>tika noteikta</w:t>
            </w:r>
            <w:r w:rsidRPr="00D61B3D">
              <w:t xml:space="preserve"> nepieciešamību izvērtēt arī Lietuvas pieredzi, kur visu kreditētāju, kuru uzraudzību neveic Eiropas Centrālā banka, uzraudzība ir nodota Lietuvas Bankai.</w:t>
            </w:r>
          </w:p>
          <w:p w14:paraId="2BE52E5A" w14:textId="77777777" w:rsidR="00900B12" w:rsidRDefault="00900B12" w:rsidP="00900B12">
            <w:r w:rsidRPr="0056712A">
              <w:t>Finanšu ministrija</w:t>
            </w:r>
            <w:r>
              <w:t xml:space="preserve"> izstrādāja</w:t>
            </w:r>
            <w:r w:rsidRPr="0056712A">
              <w:t xml:space="preserve"> informatīv</w:t>
            </w:r>
            <w:r>
              <w:t>o</w:t>
            </w:r>
            <w:r w:rsidRPr="0056712A">
              <w:t xml:space="preserve"> ziņojum</w:t>
            </w:r>
            <w:r>
              <w:t xml:space="preserve">u </w:t>
            </w:r>
            <w:r w:rsidRPr="0056712A">
              <w:t>“Par vienotas patērētāju kreditētāju licencēšanas un uzraudzības institūcijas noteikšanu”</w:t>
            </w:r>
            <w:r>
              <w:t xml:space="preserve"> </w:t>
            </w:r>
            <w:r w:rsidRPr="00D53237">
              <w:t xml:space="preserve">(25-TA-3014) </w:t>
            </w:r>
            <w:r>
              <w:t xml:space="preserve">(turpmāk – Informatīvais ziņojums), kura izstrādes laikā, kā arī oficiālajā sabiedriskās apspriešanas procesā </w:t>
            </w:r>
            <w:r>
              <w:lastRenderedPageBreak/>
              <w:t xml:space="preserve">tika uzklausītas praktiski visas nozares  asociācijas, kā arī individuāli patērētāju kreditētāji, un tā apspriešanai tika organizēta sanāksme. </w:t>
            </w:r>
            <w:r w:rsidRPr="00D53237">
              <w:t>TAP pieejami atzinumi un izziņa par sniegtajiem iebildumiem un priekšlikumiem  pie minētā informatīvā ziņojuma.</w:t>
            </w:r>
          </w:p>
          <w:p w14:paraId="12300365" w14:textId="77777777" w:rsidR="00900B12" w:rsidRDefault="00900B12" w:rsidP="00900B12">
            <w:r>
              <w:t>Informatīvā ziņojuma projekts tika arī izskatīts un atbalstīts Finanšu sektora attīstības padomes (</w:t>
            </w:r>
            <w:r w:rsidRPr="00430A8D">
              <w:t xml:space="preserve">turpmāk – </w:t>
            </w:r>
            <w:r>
              <w:t>FSAP) 09.12.2025. sēdē, tajā skaitā, piedaloties finanšu nozares asociācijām.</w:t>
            </w:r>
          </w:p>
          <w:p w14:paraId="56FF0538" w14:textId="77777777" w:rsidR="00900B12" w:rsidRDefault="00900B12" w:rsidP="00900B12"/>
          <w:p w14:paraId="107812C8" w14:textId="34DACAC8" w:rsidR="00900B12" w:rsidRDefault="00900B12" w:rsidP="00900B12">
            <w:r>
              <w:t>A</w:t>
            </w:r>
            <w:r>
              <w:t>r I</w:t>
            </w:r>
            <w:r w:rsidRPr="00E3061F">
              <w:t>nformatīv</w:t>
            </w:r>
            <w:r>
              <w:t>o</w:t>
            </w:r>
            <w:r w:rsidRPr="00E3061F">
              <w:t xml:space="preserve"> ziņojum</w:t>
            </w:r>
            <w:r>
              <w:t>u</w:t>
            </w:r>
            <w:r w:rsidRPr="00E3061F">
              <w:t xml:space="preserve"> </w:t>
            </w:r>
            <w:r>
              <w:t xml:space="preserve">tika </w:t>
            </w:r>
            <w:r w:rsidRPr="00E3061F">
              <w:t>izvērtēta Latvijā esošā patērētāju tiesību aizsardzības sistēma, kompetenču sadalījums starp finanšu sektoru uzraugošajām iestādēm un piedāvāti risinājumi turpmākai patērētāju kreditēšanas nozares uzraudzības sistēmas attīstībai, kā arī izvērtēti citu valstu uzraudzības modeļi, tostarp Lietuv</w:t>
            </w:r>
            <w:r>
              <w:t>as modelis.</w:t>
            </w:r>
          </w:p>
          <w:p w14:paraId="69754989" w14:textId="77777777" w:rsidR="00900B12" w:rsidRDefault="00900B12" w:rsidP="00900B12">
            <w:r>
              <w:t xml:space="preserve">Tāpat minams, ka FSAP </w:t>
            </w:r>
            <w:r w:rsidRPr="00354F2F">
              <w:t>09.12.2025</w:t>
            </w:r>
            <w:r>
              <w:t xml:space="preserve">. sēdē arī tika iekļauts un izskatīts jautājums par vienotas nebanku kreditētāju uzraudzības un kontroles institūcijas noteikšanu. Šajā FSAP sēdē lēmuma pieņemšanai tika piedāvāti divi iespējamie risinājuma varianti: 1.variants – ar normatīvā regulējuma palīdzību skaidrāk noteikt praktiskās uzraudzības jomas robežas starp Patērētāju tiesību centru (turpmāk – PTAC) un Valsts ieņēmumu dienestu uzraudzībā esošajiem subjektiem; 2.variants – patērētāju kreditēšanas pakalpojumu sniedzēju licencēšanas un uzraudzības funkcijas, patērētāju – finanšu </w:t>
            </w:r>
            <w:r>
              <w:lastRenderedPageBreak/>
              <w:t>pakalpojumu saņēmēju – tiesību un interešu aizsardzības funkcijas un negodīgas komercprakses uzraudzības finanšu pakalpojumu jomā funkcijas nodošanu no PTAC Latvijas Bankai. FSAP sēdē tika nolemts virzīt tālāk piedāvāto 2. variantu.</w:t>
            </w:r>
          </w:p>
          <w:p w14:paraId="53930687" w14:textId="77777777" w:rsidR="00900B12" w:rsidRDefault="00900B12" w:rsidP="00900B12"/>
          <w:p w14:paraId="4A6E4940" w14:textId="77777777" w:rsidR="00900B12" w:rsidRPr="009B33BB" w:rsidRDefault="00900B12" w:rsidP="00900B12">
            <w:r>
              <w:t>Vienlaikus atzīmējams, l</w:t>
            </w:r>
            <w:r w:rsidRPr="009B33BB">
              <w:t xml:space="preserve">ai nodrošinātu to, ka </w:t>
            </w:r>
            <w:r>
              <w:t xml:space="preserve">patērētāju </w:t>
            </w:r>
            <w:r w:rsidRPr="009B33BB">
              <w:t xml:space="preserve">kreditēšanas pakalpojumu sniedzējiem ir saprotams </w:t>
            </w:r>
            <w:r>
              <w:t>plānotais</w:t>
            </w:r>
            <w:r w:rsidRPr="009B33BB">
              <w:t xml:space="preserve"> Latvijas Bankas uzraudzības ietvars, </w:t>
            </w:r>
            <w:r>
              <w:t>Latvijas Banka</w:t>
            </w:r>
            <w:r w:rsidRPr="009B33BB">
              <w:t xml:space="preserve"> sadarbībā ar biedrības "Asociācija Fintech Latvija" biedriem uzsāk</w:t>
            </w:r>
            <w:r>
              <w:t>a</w:t>
            </w:r>
            <w:r w:rsidRPr="009B33BB">
              <w:t xml:space="preserve"> vairāku tematisko virzienu sarunu ciklu, kura ietvaros </w:t>
            </w:r>
            <w:r>
              <w:t>tika izskatīti</w:t>
            </w:r>
            <w:r w:rsidRPr="009B33BB">
              <w:t xml:space="preserve"> galvenie uzraudzības aspekti un izrunāti neskaidrie jautājumi, izveidojot piecas tematiskās sarunu grupas:</w:t>
            </w:r>
          </w:p>
          <w:p w14:paraId="03FCFEC9" w14:textId="77777777" w:rsidR="00900B12" w:rsidRPr="009B33BB" w:rsidRDefault="00900B12" w:rsidP="00900B12">
            <w:pPr>
              <w:ind w:firstLine="720"/>
            </w:pPr>
            <w:r w:rsidRPr="009B33BB">
              <w:t xml:space="preserve">1) </w:t>
            </w:r>
            <w:r>
              <w:rPr>
                <w:rFonts w:eastAsia="Calibri"/>
              </w:rPr>
              <w:t>n</w:t>
            </w:r>
            <w:r w:rsidRPr="004B0E78">
              <w:rPr>
                <w:rFonts w:eastAsia="Calibri"/>
              </w:rPr>
              <w:t>oziedzīgi iegūtu līdzekļu legalizācijas un terorisma un proliferācijas finansēšanas novēršan</w:t>
            </w:r>
            <w:r>
              <w:rPr>
                <w:rFonts w:eastAsia="Calibri"/>
              </w:rPr>
              <w:t xml:space="preserve">as (turpmāk – </w:t>
            </w:r>
            <w:r w:rsidRPr="009B33BB">
              <w:t>NILLTPFN</w:t>
            </w:r>
            <w:r>
              <w:t>)</w:t>
            </w:r>
            <w:r w:rsidRPr="009B33BB" w:rsidDel="0008057C">
              <w:t xml:space="preserve"> </w:t>
            </w:r>
            <w:r w:rsidRPr="009B33BB">
              <w:t>jautājumi;</w:t>
            </w:r>
          </w:p>
          <w:p w14:paraId="1BC71307" w14:textId="77777777" w:rsidR="00900B12" w:rsidRPr="009B33BB" w:rsidRDefault="00900B12" w:rsidP="00900B12">
            <w:pPr>
              <w:ind w:firstLine="720"/>
            </w:pPr>
            <w:r w:rsidRPr="009B33BB">
              <w:t>2) kredītrisku/kredītspējas vērtēšana;</w:t>
            </w:r>
          </w:p>
          <w:p w14:paraId="3F31BB40" w14:textId="77777777" w:rsidR="00900B12" w:rsidRPr="009B33BB" w:rsidRDefault="00900B12" w:rsidP="00900B12">
            <w:pPr>
              <w:ind w:firstLine="720"/>
            </w:pPr>
            <w:r w:rsidRPr="009B33BB">
              <w:t xml:space="preserve">3) </w:t>
            </w:r>
            <w:proofErr w:type="spellStart"/>
            <w:r w:rsidRPr="009B33BB">
              <w:t>pirmslīguma</w:t>
            </w:r>
            <w:proofErr w:type="spellEnd"/>
            <w:r w:rsidRPr="009B33BB">
              <w:t xml:space="preserve"> informācija un līguma saturs;</w:t>
            </w:r>
          </w:p>
          <w:p w14:paraId="71E95991" w14:textId="77777777" w:rsidR="00900B12" w:rsidRDefault="00900B12" w:rsidP="00900B12">
            <w:pPr>
              <w:ind w:firstLine="720"/>
            </w:pPr>
            <w:r w:rsidRPr="009B33BB">
              <w:t xml:space="preserve">4) reklāmas ierobežojumi, aizdevumu administrēšana un kvalitātes pārraudzība; </w:t>
            </w:r>
            <w:r w:rsidRPr="009B33BB">
              <w:tab/>
            </w:r>
          </w:p>
          <w:p w14:paraId="201E0F48" w14:textId="77777777" w:rsidR="00900B12" w:rsidRDefault="00900B12" w:rsidP="00900B12">
            <w:pPr>
              <w:ind w:firstLine="720"/>
            </w:pPr>
            <w:r w:rsidRPr="009B33BB">
              <w:t xml:space="preserve">5) pārvaldības jautājumi. </w:t>
            </w:r>
          </w:p>
          <w:p w14:paraId="3C3CFD85" w14:textId="77777777" w:rsidR="00900B12" w:rsidRDefault="00900B12" w:rsidP="00900B12">
            <w:r w:rsidRPr="00234FF2">
              <w:t xml:space="preserve">Darba grupu ietvaros, izskatot Latvijas Bankas uzraudzības pieeju katrā attiecīgajā tematiskajā jautājumā, notika diskusijas un ir panāktas vienošanās un kopējas izpratnes par pārvaldības sistēmu, </w:t>
            </w:r>
            <w:r w:rsidRPr="18B3CC22">
              <w:rPr>
                <w:rFonts w:eastAsia="Calibri"/>
              </w:rPr>
              <w:t>NILLTPFN</w:t>
            </w:r>
            <w:r w:rsidRPr="00234FF2">
              <w:t xml:space="preserve"> jautājumiem, kredītrisku un kredītspējas novērtēšanas atsevišķiem aspektiem, vienlaikus tiks turpinātas diskusijas </w:t>
            </w:r>
            <w:r w:rsidRPr="00234FF2">
              <w:lastRenderedPageBreak/>
              <w:t xml:space="preserve">par kredītspējas vērtēšanas pieejas pilnveides iespējām un salīdzinājumu ar Lietuvā izmantot modeli, atsevišķiem tehniskiem </w:t>
            </w:r>
            <w:r w:rsidRPr="18B3CC22">
              <w:rPr>
                <w:rFonts w:eastAsia="Calibri"/>
              </w:rPr>
              <w:t>NILLTPFN</w:t>
            </w:r>
            <w:r w:rsidRPr="00234FF2">
              <w:t xml:space="preserve"> </w:t>
            </w:r>
            <w:r>
              <w:t xml:space="preserve">jomas </w:t>
            </w:r>
            <w:r w:rsidRPr="00234FF2">
              <w:t xml:space="preserve">uzraudzības aspektiem, </w:t>
            </w:r>
            <w:r>
              <w:t>K</w:t>
            </w:r>
            <w:r w:rsidRPr="00234FF2">
              <w:t>redīt</w:t>
            </w:r>
            <w:r>
              <w:t xml:space="preserve">u </w:t>
            </w:r>
            <w:r w:rsidRPr="00234FF2">
              <w:t xml:space="preserve">reģistram  </w:t>
            </w:r>
            <w:r w:rsidRPr="396E4632">
              <w:t>sniedzamās</w:t>
            </w:r>
            <w:r w:rsidRPr="1EFEED41">
              <w:t xml:space="preserve"> </w:t>
            </w:r>
            <w:r w:rsidRPr="00234FF2">
              <w:t>informācij</w:t>
            </w:r>
            <w:r w:rsidRPr="3D1CF749">
              <w:t xml:space="preserve">as </w:t>
            </w:r>
            <w:r w:rsidRPr="614832AF">
              <w:t>apjomu</w:t>
            </w:r>
            <w:r w:rsidRPr="00234FF2">
              <w:t>, iesniedzamo uzraudzības pārskatu</w:t>
            </w:r>
            <w:r>
              <w:t xml:space="preserve"> u.c. jautājumiem.</w:t>
            </w:r>
            <w:r w:rsidRPr="00234FF2">
              <w:t xml:space="preserve"> </w:t>
            </w:r>
            <w:r w:rsidRPr="009D0164">
              <w:t>Latvijas Banka ir izveidojusi informācijas apmaiņas kanālu regulārai saziņai ar nozari, kurā tai skaitā tiek nodrošināta atbilžu publicēšana uz nozares neskaidriem jautājumiem.</w:t>
            </w:r>
            <w:r>
              <w:t xml:space="preserve"> Latvijas Banka turpina saziņa ar patērētāju kreditētājiem. </w:t>
            </w:r>
          </w:p>
          <w:p w14:paraId="0AD6B248" w14:textId="77777777" w:rsidR="00900B12" w:rsidRDefault="00900B12" w:rsidP="00900B12"/>
          <w:p w14:paraId="69823B43" w14:textId="77777777" w:rsidR="00900B12" w:rsidRDefault="00900B12" w:rsidP="00900B12">
            <w:r>
              <w:t xml:space="preserve">Vienlaikus uzsverams, ka jautājums par to, kura no valsts institūcijām pildīs kādu no savām funkcijām, vai no tām izrietošos uzdevumus, ir pašas valsts prerogatīva, proti, noteikt, kura no institūcijām turpmāk pildīs vienotas patērētāju kreditētāju licencēšanas un uzraudzības institūcijas funkcijas. Savukārt samērīguma princips savā būtībā ietver to, lai valsts pieņemot lēmumus neierobežotu personas tiesības vairāk nekā tas ir objektīvi nepieciešams leģitīma mērķa sasniegšanai. Tātad – starp mērķi un līdzekļiem ir jābūt saprātīgai līdzsvarotībai. Nosakot vienu patērētāju kreditēšanas uzraudzības institūciju valsts neiejaucas personas – patērētāja, kas ir fiziska persona, tiesībās, bet kā jau iepriekš minēts, izvēlas institūciju, kas nodrošinās atbilstošās funkcijas. Tādējādi patērētājiem pienākošais tiesību kopums, kas izriet no patērētāju tiesību tvēruma nekādā veidā netiek ierobežots vai mazināts. Arī patērētāju </w:t>
            </w:r>
            <w:r>
              <w:lastRenderedPageBreak/>
              <w:t>kreditētāju tiesības un pienākumi ar šo iecerēto funkciju un no tām izrietošo uzdevumu pāreju netiek ierobežoti, kā arī nerada jaunu administratīvo, finanšu vai konkurences slogu.</w:t>
            </w:r>
          </w:p>
          <w:p w14:paraId="442861A4" w14:textId="77777777" w:rsidR="00900B12" w:rsidRDefault="00900B12" w:rsidP="00900B12"/>
          <w:p w14:paraId="5C36A46C" w14:textId="77777777" w:rsidR="00900B12" w:rsidRDefault="00900B12" w:rsidP="00900B12">
            <w:r w:rsidRPr="00BE63DC">
              <w:t>Tiesiskās paļāvības princips nozīmē, ka persona var paļauties uz to, ka tiesības un likumiskās intereses, kuras tā ir ieguvusi, tai vēlāk netiks atņemtas. Šā principa pamatā ir personas paļaušanās uz valsts tiesisku un konsekventu rīcību (</w:t>
            </w:r>
            <w:r w:rsidRPr="00BE63DC">
              <w:rPr>
                <w:i/>
              </w:rPr>
              <w:t>Satversmes tiesas 2012.gada 25.janvāra sprieduma lietā Nr. 2011-08-01 10.punkts</w:t>
            </w:r>
            <w:r w:rsidRPr="00BE63DC">
              <w:t>). Tā galvenais uzdevums ir aizsargāt personas tiesības gadījumos, kad normatīvā regulējuma grozījumu rezultātā notiek vai ir iespējama privātpersonu tiesiskā stāvokļa pasliktināšanās (</w:t>
            </w:r>
            <w:r w:rsidRPr="00BE63DC">
              <w:rPr>
                <w:i/>
              </w:rPr>
              <w:t>Satversmes tiesas 2006.gada 8.novembra sprieduma lietā Nr. 2006-04-01 21.punkts</w:t>
            </w:r>
            <w:r w:rsidRPr="00BE63DC">
              <w:t>). Taču tiesiskās paļāvības princips neizslēdz valsts iespēju grozīt pastāvošo tiesisko regulējumu (</w:t>
            </w:r>
            <w:r w:rsidRPr="00BE63DC">
              <w:rPr>
                <w:i/>
              </w:rPr>
              <w:t>Satversmes tiesas 2010.gada 1.decembra sprieduma lietā Nr. 2010-21-01 19.punkts</w:t>
            </w:r>
            <w:r w:rsidRPr="00BE63DC">
              <w:t>). Tiesiskās paļāvības princips tostarp noteic arī to, ka personas reiz iegūtās tiesības nevar pastāvēt neierobežoti ilgi, proti, šis princips nedod pamatu ticēt, ka reiz noteiktā tiesiskā situācija nekad nemainīsies (</w:t>
            </w:r>
            <w:r w:rsidRPr="00BE63DC">
              <w:rPr>
                <w:i/>
              </w:rPr>
              <w:t>Satversmes tiesas 2004.gada 25.oktobra sprieduma lietā Nr. 2004-03-01 9.3.punkts</w:t>
            </w:r>
            <w:r w:rsidRPr="00BE63DC">
              <w:t>).</w:t>
            </w:r>
          </w:p>
          <w:p w14:paraId="374EA6E4" w14:textId="77777777" w:rsidR="00900B12" w:rsidRDefault="00900B12" w:rsidP="00900B12">
            <w:r>
              <w:t xml:space="preserve">Apvienojot regulējošā ietvara izstrādi, uzraudzību un patērētāju tiesību aizsardzību vienā institūcijā, tiek panākta lielāka saskaņotība un koordinācija. Tas ir īpaši būtiski situācijās, </w:t>
            </w:r>
            <w:r>
              <w:lastRenderedPageBreak/>
              <w:t>kurās nepieciešama starpnozaru sadarbība, piemēram, mājokļu kredītu pārkreditēšanas procesos vai nodrošinot banku pakalpojumu pieejamību reģionos. Vienotas institūcijas ietvaros iespējams ātrāk un efektīvāk identificēt problēmas, analizēt datus, izstrādāt risinājumus un ieviest politikas pasākumus.</w:t>
            </w:r>
          </w:p>
          <w:p w14:paraId="5F6542A2" w14:textId="77777777" w:rsidR="00900B12" w:rsidRDefault="00900B12" w:rsidP="00900B12">
            <w:r>
              <w:t xml:space="preserve">Uzņēmējdarbības brīvība pēc būtības ietver personas tiesības brīvi uzsākt un veikt jebkāda veida saimniecisko darbību, izvēlēties nodarbošanos, veikt ieguldījumus un organizēt uzņēmumu, ja vien tas nav aizliegts ar likumu un atbilst sabiedrības interesēm. Funkciju pāreja no vienas institūcijas uz otru nerada Satversmes 105. pantā ietverto tiesību uz uzņēmējdarbības brīvību aizskārumu. </w:t>
            </w:r>
          </w:p>
          <w:p w14:paraId="4ABA1778" w14:textId="77777777" w:rsidR="00900B12" w:rsidRDefault="00900B12" w:rsidP="00900B12"/>
          <w:p w14:paraId="60232F88" w14:textId="77777777" w:rsidR="00900B12" w:rsidRDefault="00900B12" w:rsidP="00900B12">
            <w:r>
              <w:t xml:space="preserve">Attiecībā uz labas likumdošanas principu norādāms, ka Satversmes tiesa ir atzinusi to, ka tas, ka </w:t>
            </w:r>
            <w:r w:rsidRPr="00CF1F0A">
              <w:t>likumdevējs nav ņēmis vērā visus paustos iebildumus un sniegtos priekšlikumus, nevar būt par pamatu tam, lai atzītu, ka labas likumdošanas princips nav ievērots (</w:t>
            </w:r>
            <w:r w:rsidRPr="00CF1F0A">
              <w:rPr>
                <w:i/>
                <w:iCs/>
              </w:rPr>
              <w:t>sk., piemēram, Satversmes tiesas 2015. gada 25. marta sprieduma lietā Nr. 2014-11-0103 18.1. punktu</w:t>
            </w:r>
            <w:r>
              <w:rPr>
                <w:i/>
                <w:iCs/>
              </w:rPr>
              <w:t>;</w:t>
            </w:r>
            <w:r w:rsidRPr="00391BD4">
              <w:rPr>
                <w:i/>
                <w:iCs/>
              </w:rPr>
              <w:t xml:space="preserve"> </w:t>
            </w:r>
            <w:r>
              <w:rPr>
                <w:i/>
                <w:iCs/>
              </w:rPr>
              <w:t xml:space="preserve">sk. arī </w:t>
            </w:r>
            <w:r w:rsidRPr="00391BD4">
              <w:rPr>
                <w:i/>
                <w:iCs/>
              </w:rPr>
              <w:t>Satversmes tiesas 20</w:t>
            </w:r>
            <w:r>
              <w:rPr>
                <w:i/>
                <w:iCs/>
              </w:rPr>
              <w:t>20</w:t>
            </w:r>
            <w:r w:rsidRPr="00391BD4">
              <w:rPr>
                <w:i/>
                <w:iCs/>
              </w:rPr>
              <w:t xml:space="preserve">. gada </w:t>
            </w:r>
            <w:r>
              <w:rPr>
                <w:i/>
                <w:iCs/>
              </w:rPr>
              <w:t>12. februāra</w:t>
            </w:r>
            <w:r w:rsidRPr="00391BD4">
              <w:rPr>
                <w:i/>
                <w:iCs/>
              </w:rPr>
              <w:t xml:space="preserve"> sprieduma lietā Nr. 20</w:t>
            </w:r>
            <w:r>
              <w:rPr>
                <w:i/>
                <w:iCs/>
              </w:rPr>
              <w:t>19</w:t>
            </w:r>
            <w:r w:rsidRPr="00391BD4">
              <w:rPr>
                <w:i/>
                <w:iCs/>
              </w:rPr>
              <w:t>-</w:t>
            </w:r>
            <w:r>
              <w:rPr>
                <w:i/>
                <w:iCs/>
              </w:rPr>
              <w:t>05</w:t>
            </w:r>
            <w:r w:rsidRPr="00391BD4">
              <w:rPr>
                <w:i/>
                <w:iCs/>
              </w:rPr>
              <w:t>-01 1</w:t>
            </w:r>
            <w:r>
              <w:rPr>
                <w:i/>
                <w:iCs/>
              </w:rPr>
              <w:t>9</w:t>
            </w:r>
            <w:r w:rsidRPr="00391BD4">
              <w:rPr>
                <w:i/>
                <w:iCs/>
              </w:rPr>
              <w:t>.1</w:t>
            </w:r>
            <w:r>
              <w:rPr>
                <w:i/>
                <w:iCs/>
              </w:rPr>
              <w:t>.1</w:t>
            </w:r>
            <w:r w:rsidRPr="00391BD4">
              <w:rPr>
                <w:i/>
                <w:iCs/>
              </w:rPr>
              <w:t>. punktu</w:t>
            </w:r>
            <w:r w:rsidRPr="00CF1F0A">
              <w:t xml:space="preserve">). </w:t>
            </w:r>
            <w:r>
              <w:t xml:space="preserve">Tāpat </w:t>
            </w:r>
            <w:r w:rsidRPr="00CF1F0A">
              <w:t xml:space="preserve">Satversmes tiesa </w:t>
            </w:r>
            <w:r>
              <w:t xml:space="preserve">ir </w:t>
            </w:r>
            <w:r w:rsidRPr="00CF1F0A">
              <w:t>uzsv</w:t>
            </w:r>
            <w:r>
              <w:t>ērusi</w:t>
            </w:r>
            <w:r w:rsidRPr="00CF1F0A">
              <w:t xml:space="preserve">, ka labas likumdošanas princips negarantē konkrētu vienai personai vai personu grupai vēlamu rezultātu, tomēr tā ievērošana ikvienam dod pārliecību par to, ka attiecīgais jautājums ir demokrātiski </w:t>
            </w:r>
            <w:r w:rsidRPr="00CF1F0A">
              <w:lastRenderedPageBreak/>
              <w:t xml:space="preserve">apspriests, proti, dažādi viedokļi ir pausti un analizēti, un ka dažādu tiesību un likumīgo interešu sadursmes gadījumā labākais iespējamais līdzsvars ir meklēts, </w:t>
            </w:r>
            <w:r w:rsidRPr="009115A7">
              <w:rPr>
                <w:color w:val="auto"/>
              </w:rPr>
              <w:t>ievērojot </w:t>
            </w:r>
            <w:hyperlink r:id="rId7" w:tgtFrame="_blank" w:history="1">
              <w:r w:rsidRPr="009115A7">
                <w:rPr>
                  <w:rStyle w:val="Hyperlink"/>
                  <w:color w:val="auto"/>
                  <w:u w:val="none"/>
                </w:rPr>
                <w:t>Satversmē</w:t>
              </w:r>
            </w:hyperlink>
            <w:r w:rsidRPr="00CF1F0A">
              <w:t> ietvertās vērtības un vispārējos tiesību principus (</w:t>
            </w:r>
            <w:r w:rsidRPr="00CF1F0A">
              <w:rPr>
                <w:i/>
                <w:iCs/>
              </w:rPr>
              <w:t>sal. sk. Satversmes tiesas 2019. gada 23. aprīļa sprieduma lietā Nr. 2018-12-01 24.1. punktu</w:t>
            </w:r>
            <w:r>
              <w:rPr>
                <w:i/>
                <w:iCs/>
              </w:rPr>
              <w:t xml:space="preserve">; sk. arī </w:t>
            </w:r>
            <w:r w:rsidRPr="00391BD4">
              <w:rPr>
                <w:i/>
                <w:iCs/>
              </w:rPr>
              <w:t>Satversmes tiesas 20</w:t>
            </w:r>
            <w:r>
              <w:rPr>
                <w:i/>
                <w:iCs/>
              </w:rPr>
              <w:t>20</w:t>
            </w:r>
            <w:r w:rsidRPr="00391BD4">
              <w:rPr>
                <w:i/>
                <w:iCs/>
              </w:rPr>
              <w:t xml:space="preserve">. gada </w:t>
            </w:r>
            <w:r>
              <w:rPr>
                <w:i/>
                <w:iCs/>
              </w:rPr>
              <w:t>12. februāra</w:t>
            </w:r>
            <w:r w:rsidRPr="00391BD4">
              <w:rPr>
                <w:i/>
                <w:iCs/>
              </w:rPr>
              <w:t xml:space="preserve"> sprieduma lietā Nr. 20</w:t>
            </w:r>
            <w:r>
              <w:rPr>
                <w:i/>
                <w:iCs/>
              </w:rPr>
              <w:t>19</w:t>
            </w:r>
            <w:r w:rsidRPr="00391BD4">
              <w:rPr>
                <w:i/>
                <w:iCs/>
              </w:rPr>
              <w:t>-</w:t>
            </w:r>
            <w:r>
              <w:rPr>
                <w:i/>
                <w:iCs/>
              </w:rPr>
              <w:t>05</w:t>
            </w:r>
            <w:r w:rsidRPr="00391BD4">
              <w:rPr>
                <w:i/>
                <w:iCs/>
              </w:rPr>
              <w:t>-01 1</w:t>
            </w:r>
            <w:r>
              <w:rPr>
                <w:i/>
                <w:iCs/>
              </w:rPr>
              <w:t>9</w:t>
            </w:r>
            <w:r w:rsidRPr="00391BD4">
              <w:rPr>
                <w:i/>
                <w:iCs/>
              </w:rPr>
              <w:t>.1</w:t>
            </w:r>
            <w:r>
              <w:rPr>
                <w:i/>
                <w:iCs/>
              </w:rPr>
              <w:t>.1</w:t>
            </w:r>
            <w:r w:rsidRPr="00391BD4">
              <w:rPr>
                <w:i/>
                <w:iCs/>
              </w:rPr>
              <w:t>. punktu</w:t>
            </w:r>
            <w:r w:rsidRPr="00CF1F0A">
              <w:t>).</w:t>
            </w:r>
            <w:r>
              <w:t xml:space="preserve"> </w:t>
            </w:r>
          </w:p>
          <w:p w14:paraId="40E3658C" w14:textId="77777777" w:rsidR="00900B12" w:rsidRDefault="00900B12" w:rsidP="00900B12">
            <w:r>
              <w:t xml:space="preserve">Ņemot vērā līdzšinējo finanšu sektora asociāciju aktīvo iesaisti gan  Informatīvā ziņojuma izstrādē, gan arī sniedzot atzinumus par likumprojektu </w:t>
            </w:r>
            <w:proofErr w:type="spellStart"/>
            <w:r>
              <w:t>pakotni</w:t>
            </w:r>
            <w:proofErr w:type="spellEnd"/>
            <w:r>
              <w:t xml:space="preserve"> TAP portālā,  kā arī, izvērtējot regulējuma iespējamo ietekmi uz personu ekonomiskajām interesēm, Finanšu ministrija, izvēloties sabiedriskās līdzdalības veidus, ir nodrošinājusi jēgpilnu, efektīvu, atklātu, ietverošu savlaicīgu un atbildīgu nozares iesaisti normatīvā regulējuma izstrādes procesā.</w:t>
            </w:r>
          </w:p>
          <w:p w14:paraId="2C9D2356" w14:textId="77777777" w:rsidR="00900B12" w:rsidRDefault="00900B12" w:rsidP="00900B12"/>
          <w:p w14:paraId="236169E5" w14:textId="77777777" w:rsidR="00900B12" w:rsidRDefault="00900B12" w:rsidP="00900B12">
            <w:r>
              <w:t xml:space="preserve">Tāpēc vēlreiz uzsverams, ka jau </w:t>
            </w:r>
            <w:r w:rsidRPr="005B6105">
              <w:t xml:space="preserve">Informatīvajā ziņojumā tika skaidri izklāstīts Latvijas Bankas piedāvātais uzraudzības modelis, kas nodrošinātu sistemātisku tirgus dalībnieku darbības izvērtējumu, savlaicīgu risku identificēšanu un mērķtiecīgu korektīvo pasākumu piemērošanu. </w:t>
            </w:r>
            <w:r>
              <w:t>Savukārt a</w:t>
            </w:r>
            <w:r w:rsidRPr="005B6105">
              <w:t xml:space="preserve">r </w:t>
            </w:r>
            <w:r>
              <w:t xml:space="preserve">13 </w:t>
            </w:r>
            <w:r w:rsidRPr="005B6105">
              <w:t>likumprojektu</w:t>
            </w:r>
            <w:r>
              <w:t xml:space="preserve"> </w:t>
            </w:r>
            <w:proofErr w:type="spellStart"/>
            <w:r>
              <w:t>pakotni</w:t>
            </w:r>
            <w:proofErr w:type="spellEnd"/>
            <w:r>
              <w:t xml:space="preserve"> </w:t>
            </w:r>
            <w:r w:rsidRPr="005B6105">
              <w:t xml:space="preserve"> tiek mainīta patērētāju kreditētāju licencēšanas un uzraudzības kompetentā iestāde, kā arī kompetentā iestāde patērētāju tiesību un interešu aizsardzībai finanšu </w:t>
            </w:r>
            <w:r w:rsidRPr="005B6105">
              <w:lastRenderedPageBreak/>
              <w:t>sektorā, vienlaikus saglabājot esošās licencēšanas un uzraudzības prasības. Likumprojekts un tā pavadošie grozījumi nesatur papildu uzraudzības prasības patērētāju kreditētājiem</w:t>
            </w:r>
            <w:r>
              <w:t>.</w:t>
            </w:r>
          </w:p>
          <w:p w14:paraId="40F0EF18" w14:textId="77777777" w:rsidR="00900B12" w:rsidRDefault="00900B12" w:rsidP="00900B12"/>
          <w:p w14:paraId="0D0E4E80" w14:textId="3698171B" w:rsidR="00900B12" w:rsidRDefault="00DD529C" w:rsidP="00900B12">
            <w:pPr>
              <w:rPr>
                <w:b/>
                <w:bCs/>
              </w:rPr>
            </w:pPr>
            <w:r>
              <w:rPr>
                <w:b/>
                <w:bCs/>
              </w:rPr>
              <w:t xml:space="preserve">II </w:t>
            </w:r>
            <w:r w:rsidRPr="00DD529C">
              <w:rPr>
                <w:b/>
                <w:bCs/>
              </w:rPr>
              <w:t>Par Civilprocesa likuma grozījumiem</w:t>
            </w:r>
          </w:p>
          <w:p w14:paraId="4D64FCF7" w14:textId="77777777" w:rsidR="00B77E4A" w:rsidRPr="00DD529C" w:rsidRDefault="00B77E4A" w:rsidP="00900B12">
            <w:pPr>
              <w:rPr>
                <w:b/>
                <w:bCs/>
              </w:rPr>
            </w:pPr>
          </w:p>
          <w:p w14:paraId="5FD2C172" w14:textId="77777777" w:rsidR="00B77E4A" w:rsidRPr="00162EC2" w:rsidRDefault="00B77E4A" w:rsidP="00B77E4A">
            <w:r>
              <w:t>N</w:t>
            </w:r>
            <w:r w:rsidRPr="00162EC2">
              <w:t>orād</w:t>
            </w:r>
            <w:r>
              <w:t>āms</w:t>
            </w:r>
            <w:r w:rsidRPr="00162EC2">
              <w:t>, ka likumprojekts nenosaka sistēmisku civilprocesa vai tiesu varas lomas pārveidi, bet paredz mērķētus precizējumus</w:t>
            </w:r>
            <w:r>
              <w:t>, kas paredz papildināt atbilstošās Civilprocesa likuma normas ar Latvijas Banku</w:t>
            </w:r>
            <w:r w:rsidRPr="00162EC2">
              <w:t xml:space="preserve"> patērētāju tiesību aizsardzības jomā.</w:t>
            </w:r>
          </w:p>
          <w:p w14:paraId="33540DFA" w14:textId="77777777" w:rsidR="00B77E4A" w:rsidRDefault="00B77E4A" w:rsidP="00B77E4A">
            <w:r w:rsidRPr="00162EC2">
              <w:t xml:space="preserve">Latvijas Bankas lēmumi neaizstāj tiesas vērtējumu un nav prejudiciāli civillietās. Tie var tikt izmantoti tikai kā viens no pierādījumiem, saglabājot tiesai pilnu rīcības brīvību to izvērtēšanā. Tādējādi tiesu neatkarības princips un Satversmes 92. pantā nostiprinātās tiesības uz taisnīgu tiesu </w:t>
            </w:r>
            <w:r>
              <w:t xml:space="preserve">nekādā veidā </w:t>
            </w:r>
            <w:r w:rsidRPr="00162EC2">
              <w:t>netiek aizskartas</w:t>
            </w:r>
            <w:r>
              <w:t xml:space="preserve"> ar šiem grozījumiem</w:t>
            </w:r>
            <w:r w:rsidRPr="00162EC2">
              <w:t>.</w:t>
            </w:r>
          </w:p>
          <w:p w14:paraId="3AA90850" w14:textId="77777777" w:rsidR="00B77E4A" w:rsidRPr="00162EC2" w:rsidRDefault="00B77E4A" w:rsidP="00B77E4A">
            <w:r w:rsidRPr="00162EC2">
              <w:t>Likumprojekts nemaina pierādīšanas nastas sadalījuma pamatprincipus un neierobežo pušu tiesības apstrīdēt regulatora lēmumus. Sacīkstes princips civilprocesā tiek saglabāts, un regulējums ir savietojams ar ES Pamattiesību hartas 47. pantu.</w:t>
            </w:r>
          </w:p>
          <w:p w14:paraId="31F3D041" w14:textId="77777777" w:rsidR="00B77E4A" w:rsidRPr="00162EC2" w:rsidRDefault="00B77E4A" w:rsidP="00B77E4A">
            <w:r>
              <w:t>L</w:t>
            </w:r>
            <w:r w:rsidRPr="00162EC2">
              <w:t xml:space="preserve">ikumprojekts ir samērīgs, atbilst ES tiesību ietvaram un stiprina patērētāju tiesību aizsardzību, vienlaikus saglabājot tiesas centrālo </w:t>
            </w:r>
            <w:r w:rsidRPr="00162EC2">
              <w:lastRenderedPageBreak/>
              <w:t>lomu civiltiesisko strīdu izšķiršanā</w:t>
            </w:r>
            <w:r>
              <w:t xml:space="preserve"> patērētāju tiesību aizsardzības jomā</w:t>
            </w:r>
            <w:r w:rsidRPr="00162EC2">
              <w:t>.</w:t>
            </w:r>
          </w:p>
          <w:p w14:paraId="7189231B" w14:textId="77777777" w:rsidR="00B77E4A" w:rsidRPr="001D4AAF" w:rsidRDefault="00B77E4A" w:rsidP="00B77E4A">
            <w:r>
              <w:t>Latvijas Bankas i</w:t>
            </w:r>
            <w:r w:rsidRPr="001D4AAF">
              <w:t xml:space="preserve">nstitucionālā kapacitāte un gatavība uzraudzības funkciju īstenošanai jau ir nostiprināta spēkā esošajā normatīvajā regulējumā un </w:t>
            </w:r>
            <w:r>
              <w:t xml:space="preserve">balstīta ilggadīgā </w:t>
            </w:r>
            <w:r w:rsidRPr="001D4AAF">
              <w:t>praksē. Lēmumu pieņemšana balstās uz administratīvā procesa principiem, konsekventu uzraudzības metodoloģiju un līdzšinējo pieredzi finanšu nozarē.</w:t>
            </w:r>
          </w:p>
          <w:p w14:paraId="3514A650" w14:textId="77777777" w:rsidR="00B77E4A" w:rsidRPr="001D4AAF" w:rsidRDefault="00B77E4A" w:rsidP="00B77E4A">
            <w:r w:rsidRPr="001D4AAF">
              <w:t>Metodoloģijas un vienotas prakses jautājumi pēc savas būtības ir sekundārā regulējuma un institucionālās prakses, nevis likumprojekta anotācijas detalizācijas jautājums. To esamība nav priekšnoteikums regulējuma spēkā esībai un nerada riskus tiesību piemērošanas kvalitātei.</w:t>
            </w:r>
          </w:p>
          <w:p w14:paraId="251879D7" w14:textId="4C19D336" w:rsidR="00470F6D" w:rsidRDefault="00B77E4A" w:rsidP="00762B06">
            <w:r w:rsidRPr="001D4AAF">
              <w:t>Latvijas Bankas lēmumi civilprocesā netiek padarīti par neapstrīdamiem vai prejudiciāliem, un tiesa saglabā pilnu kompetenci tos izvērtēt. Līdz ar to nevienveidīgas judikatūras, tiesvedību skaita pieauguma vai procesu nepamatotas paildzināšanās risks netiek konstatēts.</w:t>
            </w:r>
          </w:p>
        </w:tc>
        <w:tc>
          <w:tcPr>
            <w:tcW w:w="2949" w:type="dxa"/>
            <w:shd w:val="clear" w:color="auto" w:fill="FFFFFF"/>
            <w:noWrap/>
            <w:tcMar>
              <w:top w:w="75" w:type="dxa"/>
              <w:left w:w="75" w:type="dxa"/>
              <w:bottom w:w="75" w:type="dxa"/>
              <w:right w:w="75" w:type="dxa"/>
            </w:tcMar>
          </w:tcPr>
          <w:p w14:paraId="3706FB68" w14:textId="77777777" w:rsidR="00470F6D" w:rsidRDefault="00470F6D" w:rsidP="00360B15">
            <w:pPr>
              <w:spacing w:after="240"/>
              <w:rPr>
                <w:b/>
              </w:rPr>
            </w:pPr>
            <w:r>
              <w:rPr>
                <w:b/>
              </w:rPr>
              <w:lastRenderedPageBreak/>
              <w:t>Likumprojekts (grozījumi)</w:t>
            </w:r>
          </w:p>
          <w:p w14:paraId="21E79781" w14:textId="2F072323" w:rsidR="00470F6D" w:rsidRDefault="00470F6D" w:rsidP="00360B15">
            <w:r>
              <w:t xml:space="preserve">Grozījumi </w:t>
            </w:r>
            <w:r w:rsidR="00257BB3">
              <w:t>Civilprocesa</w:t>
            </w:r>
            <w:r>
              <w:t xml:space="preserve"> likumā</w:t>
            </w:r>
          </w:p>
        </w:tc>
      </w:tr>
    </w:tbl>
    <w:p w14:paraId="5B6EE59F" w14:textId="77777777" w:rsidR="00F04A11" w:rsidRDefault="00F04A11"/>
    <w:sectPr w:rsidR="00F04A11" w:rsidSect="00470F6D">
      <w:headerReference w:type="default" r:id="rId8"/>
      <w:footerReference w:type="default" r:id="rId9"/>
      <w:headerReference w:type="first" r:id="rId10"/>
      <w:footerReference w:type="first" r:id="rId11"/>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DFD11" w14:textId="77777777" w:rsidR="00B040B5" w:rsidRDefault="00B040B5" w:rsidP="00470F6D">
      <w:r>
        <w:separator/>
      </w:r>
    </w:p>
  </w:endnote>
  <w:endnote w:type="continuationSeparator" w:id="0">
    <w:p w14:paraId="0EF65C51" w14:textId="77777777" w:rsidR="00B040B5" w:rsidRDefault="00B040B5" w:rsidP="00470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8D3F2" w14:textId="77777777" w:rsidR="00470F6D" w:rsidRDefault="00470F6D">
    <w:pPr>
      <w:jc w:val="right"/>
    </w:pPr>
    <w:r>
      <w:rPr>
        <w:szCs w:val="24"/>
      </w:rPr>
      <w:fldChar w:fldCharType="begin"/>
    </w:r>
    <w:r>
      <w:rPr>
        <w:szCs w:val="24"/>
      </w:rPr>
      <w:instrText>PAGE</w:instrText>
    </w:r>
    <w:r>
      <w:rPr>
        <w:szCs w:val="24"/>
      </w:rPr>
      <w:fldChar w:fldCharType="separate"/>
    </w:r>
    <w:r>
      <w:rPr>
        <w:noProof/>
        <w:szCs w:val="24"/>
      </w:rPr>
      <w:t>2</w:t>
    </w:r>
    <w:r>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8F418" w14:textId="77777777" w:rsidR="00470F6D" w:rsidRDefault="00470F6D">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15A97" w14:textId="77777777" w:rsidR="00B040B5" w:rsidRDefault="00B040B5" w:rsidP="00470F6D">
      <w:r>
        <w:separator/>
      </w:r>
    </w:p>
  </w:footnote>
  <w:footnote w:type="continuationSeparator" w:id="0">
    <w:p w14:paraId="3E859637" w14:textId="77777777" w:rsidR="00B040B5" w:rsidRDefault="00B040B5" w:rsidP="00470F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07530" w14:textId="535220B8" w:rsidR="00470F6D" w:rsidRDefault="00470F6D">
    <w:pPr>
      <w:pStyle w:val="Header"/>
      <w:contextualSpacing w:val="0"/>
    </w:pPr>
    <w:r>
      <w:t>Izziņa 26-TA-7</w:t>
    </w:r>
    <w:r w:rsidR="00257BB3">
      <w:t>51</w:t>
    </w:r>
    <w: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8A4EA" w14:textId="5AAECCE1" w:rsidR="00470F6D" w:rsidRDefault="00470F6D">
    <w:pPr>
      <w:pStyle w:val="Header"/>
      <w:contextualSpacing w:val="0"/>
    </w:pPr>
    <w:r>
      <w:t>Izziņa 26-TA-7</w:t>
    </w:r>
    <w:r w:rsidR="00257BB3">
      <w:t>51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26039"/>
    <w:multiLevelType w:val="multilevel"/>
    <w:tmpl w:val="6A107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171FDE"/>
    <w:multiLevelType w:val="multilevel"/>
    <w:tmpl w:val="7024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CA7AC7"/>
    <w:multiLevelType w:val="multilevel"/>
    <w:tmpl w:val="0E226A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3A61C7F"/>
    <w:multiLevelType w:val="multilevel"/>
    <w:tmpl w:val="CAFEF4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881C33"/>
    <w:multiLevelType w:val="multilevel"/>
    <w:tmpl w:val="274ACF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DCA7FC9"/>
    <w:multiLevelType w:val="multilevel"/>
    <w:tmpl w:val="479A4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051254"/>
    <w:multiLevelType w:val="multilevel"/>
    <w:tmpl w:val="B7FCD7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D0A229C"/>
    <w:multiLevelType w:val="multilevel"/>
    <w:tmpl w:val="DE28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910C54"/>
    <w:multiLevelType w:val="hybridMultilevel"/>
    <w:tmpl w:val="E140F272"/>
    <w:lvl w:ilvl="0" w:tplc="384C2D3C">
      <w:start w:val="2"/>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9" w15:restartNumberingAfterBreak="0">
    <w:nsid w:val="64F26D22"/>
    <w:multiLevelType w:val="multilevel"/>
    <w:tmpl w:val="E6282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0A422C"/>
    <w:multiLevelType w:val="multilevel"/>
    <w:tmpl w:val="A378D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6501211">
    <w:abstractNumId w:val="4"/>
    <w:lvlOverride w:ilvl="0"/>
    <w:lvlOverride w:ilvl="1">
      <w:startOverride w:val="1"/>
    </w:lvlOverride>
    <w:lvlOverride w:ilvl="2"/>
    <w:lvlOverride w:ilvl="3"/>
    <w:lvlOverride w:ilvl="4"/>
    <w:lvlOverride w:ilvl="5"/>
    <w:lvlOverride w:ilvl="6"/>
    <w:lvlOverride w:ilvl="7"/>
    <w:lvlOverride w:ilvl="8"/>
  </w:num>
  <w:num w:numId="2" w16cid:durableId="261424351">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08128628">
    <w:abstractNumId w:val="2"/>
  </w:num>
  <w:num w:numId="4" w16cid:durableId="746651876">
    <w:abstractNumId w:val="3"/>
  </w:num>
  <w:num w:numId="5" w16cid:durableId="117379229">
    <w:abstractNumId w:val="0"/>
  </w:num>
  <w:num w:numId="6" w16cid:durableId="61103446">
    <w:abstractNumId w:val="1"/>
  </w:num>
  <w:num w:numId="7" w16cid:durableId="156963027">
    <w:abstractNumId w:val="10"/>
  </w:num>
  <w:num w:numId="8" w16cid:durableId="78792941">
    <w:abstractNumId w:val="6"/>
  </w:num>
  <w:num w:numId="9" w16cid:durableId="1657610013">
    <w:abstractNumId w:val="5"/>
  </w:num>
  <w:num w:numId="10" w16cid:durableId="136609502">
    <w:abstractNumId w:val="9"/>
  </w:num>
  <w:num w:numId="11" w16cid:durableId="14627298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F6D"/>
    <w:rsid w:val="00041860"/>
    <w:rsid w:val="00094BCE"/>
    <w:rsid w:val="000D2695"/>
    <w:rsid w:val="001A522B"/>
    <w:rsid w:val="00257BB3"/>
    <w:rsid w:val="00265D43"/>
    <w:rsid w:val="00293D94"/>
    <w:rsid w:val="00434067"/>
    <w:rsid w:val="00470F6D"/>
    <w:rsid w:val="00503413"/>
    <w:rsid w:val="00762B06"/>
    <w:rsid w:val="00900B12"/>
    <w:rsid w:val="00910B5B"/>
    <w:rsid w:val="009D178C"/>
    <w:rsid w:val="00B040B5"/>
    <w:rsid w:val="00B77E4A"/>
    <w:rsid w:val="00CC04E6"/>
    <w:rsid w:val="00DD529C"/>
    <w:rsid w:val="00F04A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A7686"/>
  <w15:chartTrackingRefBased/>
  <w15:docId w15:val="{287D1559-1776-4116-B01B-9337A77A2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F6D"/>
    <w:pPr>
      <w:spacing w:after="0" w:line="240" w:lineRule="auto"/>
      <w:jc w:val="both"/>
    </w:pPr>
    <w:rPr>
      <w:rFonts w:ascii="Times New Roman" w:eastAsia="Times New Roman" w:hAnsi="Times New Roman" w:cs="Times New Roman"/>
      <w:color w:val="333333"/>
      <w:kern w:val="0"/>
      <w:szCs w:val="20"/>
      <w:lang w:eastAsia="lv-LV"/>
      <w14:ligatures w14:val="none"/>
    </w:rPr>
  </w:style>
  <w:style w:type="paragraph" w:styleId="Heading1">
    <w:name w:val="heading 1"/>
    <w:basedOn w:val="Normal"/>
    <w:next w:val="Normal"/>
    <w:link w:val="Heading1Char"/>
    <w:uiPriority w:val="9"/>
    <w:qFormat/>
    <w:rsid w:val="00470F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0F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0F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0F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0F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0F6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0F6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0F6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0F6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0F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0F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0F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0F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0F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0F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0F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0F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0F6D"/>
    <w:rPr>
      <w:rFonts w:eastAsiaTheme="majorEastAsia" w:cstheme="majorBidi"/>
      <w:color w:val="272727" w:themeColor="text1" w:themeTint="D8"/>
    </w:rPr>
  </w:style>
  <w:style w:type="paragraph" w:styleId="Title">
    <w:name w:val="Title"/>
    <w:basedOn w:val="Normal"/>
    <w:next w:val="Normal"/>
    <w:link w:val="TitleChar"/>
    <w:uiPriority w:val="10"/>
    <w:qFormat/>
    <w:rsid w:val="00470F6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0F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0F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0F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0F6D"/>
    <w:pPr>
      <w:spacing w:before="160"/>
      <w:jc w:val="center"/>
    </w:pPr>
    <w:rPr>
      <w:i/>
      <w:iCs/>
      <w:color w:val="404040" w:themeColor="text1" w:themeTint="BF"/>
    </w:rPr>
  </w:style>
  <w:style w:type="character" w:customStyle="1" w:styleId="QuoteChar">
    <w:name w:val="Quote Char"/>
    <w:basedOn w:val="DefaultParagraphFont"/>
    <w:link w:val="Quote"/>
    <w:uiPriority w:val="29"/>
    <w:rsid w:val="00470F6D"/>
    <w:rPr>
      <w:i/>
      <w:iCs/>
      <w:color w:val="404040" w:themeColor="text1" w:themeTint="BF"/>
    </w:rPr>
  </w:style>
  <w:style w:type="paragraph" w:styleId="ListParagraph">
    <w:name w:val="List Paragraph"/>
    <w:basedOn w:val="Normal"/>
    <w:uiPriority w:val="34"/>
    <w:qFormat/>
    <w:rsid w:val="00470F6D"/>
    <w:pPr>
      <w:ind w:left="720"/>
      <w:contextualSpacing/>
    </w:pPr>
  </w:style>
  <w:style w:type="character" w:styleId="IntenseEmphasis">
    <w:name w:val="Intense Emphasis"/>
    <w:basedOn w:val="DefaultParagraphFont"/>
    <w:uiPriority w:val="21"/>
    <w:qFormat/>
    <w:rsid w:val="00470F6D"/>
    <w:rPr>
      <w:i/>
      <w:iCs/>
      <w:color w:val="0F4761" w:themeColor="accent1" w:themeShade="BF"/>
    </w:rPr>
  </w:style>
  <w:style w:type="paragraph" w:styleId="IntenseQuote">
    <w:name w:val="Intense Quote"/>
    <w:basedOn w:val="Normal"/>
    <w:next w:val="Normal"/>
    <w:link w:val="IntenseQuoteChar"/>
    <w:uiPriority w:val="30"/>
    <w:qFormat/>
    <w:rsid w:val="00470F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0F6D"/>
    <w:rPr>
      <w:i/>
      <w:iCs/>
      <w:color w:val="0F4761" w:themeColor="accent1" w:themeShade="BF"/>
    </w:rPr>
  </w:style>
  <w:style w:type="character" w:styleId="IntenseReference">
    <w:name w:val="Intense Reference"/>
    <w:basedOn w:val="DefaultParagraphFont"/>
    <w:uiPriority w:val="32"/>
    <w:qFormat/>
    <w:rsid w:val="00470F6D"/>
    <w:rPr>
      <w:b/>
      <w:bCs/>
      <w:smallCaps/>
      <w:color w:val="0F4761" w:themeColor="accent1" w:themeShade="BF"/>
      <w:spacing w:val="5"/>
    </w:rPr>
  </w:style>
  <w:style w:type="paragraph" w:customStyle="1" w:styleId="paragraph">
    <w:name w:val="paragraph"/>
    <w:basedOn w:val="Normal"/>
    <w:next w:val="Normal"/>
    <w:rsid w:val="00470F6D"/>
    <w:pPr>
      <w:contextualSpacing/>
    </w:pPr>
  </w:style>
  <w:style w:type="paragraph" w:customStyle="1" w:styleId="titleparagraph">
    <w:name w:val="title_paragraph"/>
    <w:basedOn w:val="Normal"/>
    <w:next w:val="Normal"/>
    <w:rsid w:val="00470F6D"/>
    <w:pPr>
      <w:spacing w:after="280"/>
      <w:contextualSpacing/>
    </w:pPr>
    <w:rPr>
      <w:b/>
      <w:sz w:val="28"/>
    </w:rPr>
  </w:style>
  <w:style w:type="paragraph" w:styleId="Header">
    <w:name w:val="header"/>
    <w:basedOn w:val="Normal"/>
    <w:next w:val="Normal"/>
    <w:link w:val="HeaderChar"/>
    <w:rsid w:val="00470F6D"/>
    <w:pPr>
      <w:spacing w:after="280"/>
      <w:contextualSpacing/>
      <w:jc w:val="right"/>
    </w:pPr>
  </w:style>
  <w:style w:type="character" w:customStyle="1" w:styleId="HeaderChar">
    <w:name w:val="Header Char"/>
    <w:basedOn w:val="DefaultParagraphFont"/>
    <w:link w:val="Header"/>
    <w:rsid w:val="00470F6D"/>
    <w:rPr>
      <w:rFonts w:ascii="Times New Roman" w:eastAsia="Times New Roman" w:hAnsi="Times New Roman" w:cs="Times New Roman"/>
      <w:color w:val="333333"/>
      <w:kern w:val="0"/>
      <w:szCs w:val="20"/>
      <w:lang w:eastAsia="lv-LV"/>
      <w14:ligatures w14:val="none"/>
    </w:rPr>
  </w:style>
  <w:style w:type="paragraph" w:customStyle="1" w:styleId="signeddocumentparagraph">
    <w:name w:val="signed_document_paragraph"/>
    <w:basedOn w:val="Normal"/>
    <w:next w:val="Normal"/>
    <w:rsid w:val="00470F6D"/>
    <w:pPr>
      <w:contextualSpacing/>
      <w:jc w:val="right"/>
    </w:pPr>
  </w:style>
  <w:style w:type="paragraph" w:styleId="Footer">
    <w:name w:val="footer"/>
    <w:basedOn w:val="Normal"/>
    <w:link w:val="FooterChar"/>
    <w:uiPriority w:val="99"/>
    <w:unhideWhenUsed/>
    <w:rsid w:val="00470F6D"/>
    <w:pPr>
      <w:tabs>
        <w:tab w:val="center" w:pos="4153"/>
        <w:tab w:val="right" w:pos="8306"/>
      </w:tabs>
    </w:pPr>
  </w:style>
  <w:style w:type="character" w:customStyle="1" w:styleId="FooterChar">
    <w:name w:val="Footer Char"/>
    <w:basedOn w:val="DefaultParagraphFont"/>
    <w:link w:val="Footer"/>
    <w:uiPriority w:val="99"/>
    <w:rsid w:val="00470F6D"/>
    <w:rPr>
      <w:rFonts w:ascii="Times New Roman" w:eastAsia="Times New Roman" w:hAnsi="Times New Roman" w:cs="Times New Roman"/>
      <w:color w:val="333333"/>
      <w:kern w:val="0"/>
      <w:szCs w:val="20"/>
      <w:lang w:eastAsia="lv-LV"/>
      <w14:ligatures w14:val="none"/>
    </w:rPr>
  </w:style>
  <w:style w:type="character" w:styleId="Hyperlink">
    <w:name w:val="Hyperlink"/>
    <w:basedOn w:val="DefaultParagraphFont"/>
    <w:uiPriority w:val="99"/>
    <w:unhideWhenUsed/>
    <w:rsid w:val="00470F6D"/>
    <w:rPr>
      <w:color w:val="467886" w:themeColor="hyperlink"/>
      <w:u w:val="single"/>
    </w:rPr>
  </w:style>
  <w:style w:type="character" w:styleId="CommentReference">
    <w:name w:val="annotation reference"/>
    <w:basedOn w:val="DefaultParagraphFont"/>
    <w:uiPriority w:val="99"/>
    <w:semiHidden/>
    <w:unhideWhenUsed/>
    <w:rsid w:val="00470F6D"/>
    <w:rPr>
      <w:sz w:val="16"/>
      <w:szCs w:val="16"/>
    </w:rPr>
  </w:style>
  <w:style w:type="paragraph" w:styleId="CommentText">
    <w:name w:val="annotation text"/>
    <w:basedOn w:val="Normal"/>
    <w:link w:val="CommentTextChar"/>
    <w:uiPriority w:val="99"/>
    <w:unhideWhenUsed/>
    <w:rsid w:val="00470F6D"/>
    <w:rPr>
      <w:sz w:val="20"/>
    </w:rPr>
  </w:style>
  <w:style w:type="character" w:customStyle="1" w:styleId="CommentTextChar">
    <w:name w:val="Comment Text Char"/>
    <w:basedOn w:val="DefaultParagraphFont"/>
    <w:link w:val="CommentText"/>
    <w:uiPriority w:val="99"/>
    <w:rsid w:val="00470F6D"/>
    <w:rPr>
      <w:rFonts w:ascii="Times New Roman" w:eastAsia="Times New Roman" w:hAnsi="Times New Roman" w:cs="Times New Roman"/>
      <w:color w:val="333333"/>
      <w:kern w:val="0"/>
      <w:sz w:val="20"/>
      <w:szCs w:val="20"/>
      <w:lang w:eastAsia="lv-LV"/>
      <w14:ligatures w14:val="none"/>
    </w:rPr>
  </w:style>
  <w:style w:type="paragraph" w:styleId="CommentSubject">
    <w:name w:val="annotation subject"/>
    <w:basedOn w:val="CommentText"/>
    <w:next w:val="CommentText"/>
    <w:link w:val="CommentSubjectChar"/>
    <w:uiPriority w:val="99"/>
    <w:semiHidden/>
    <w:unhideWhenUsed/>
    <w:rsid w:val="00470F6D"/>
    <w:rPr>
      <w:b/>
      <w:bCs/>
    </w:rPr>
  </w:style>
  <w:style w:type="character" w:customStyle="1" w:styleId="CommentSubjectChar">
    <w:name w:val="Comment Subject Char"/>
    <w:basedOn w:val="CommentTextChar"/>
    <w:link w:val="CommentSubject"/>
    <w:uiPriority w:val="99"/>
    <w:semiHidden/>
    <w:rsid w:val="00470F6D"/>
    <w:rPr>
      <w:rFonts w:ascii="Times New Roman" w:eastAsia="Times New Roman" w:hAnsi="Times New Roman" w:cs="Times New Roman"/>
      <w:b/>
      <w:bCs/>
      <w:color w:val="333333"/>
      <w:kern w:val="0"/>
      <w:sz w:val="20"/>
      <w:szCs w:val="20"/>
      <w:lang w:eastAsia="lv-LV"/>
      <w14:ligatures w14:val="none"/>
    </w:rPr>
  </w:style>
  <w:style w:type="character" w:styleId="Mention">
    <w:name w:val="Mention"/>
    <w:basedOn w:val="DefaultParagraphFont"/>
    <w:uiPriority w:val="99"/>
    <w:unhideWhenUsed/>
    <w:rsid w:val="00470F6D"/>
    <w:rPr>
      <w:color w:val="2B579A"/>
      <w:shd w:val="clear" w:color="auto" w:fill="E1DFDD"/>
    </w:rPr>
  </w:style>
  <w:style w:type="character" w:styleId="UnresolvedMention">
    <w:name w:val="Unresolved Mention"/>
    <w:basedOn w:val="DefaultParagraphFont"/>
    <w:uiPriority w:val="99"/>
    <w:semiHidden/>
    <w:unhideWhenUsed/>
    <w:rsid w:val="00470F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57980-latvijas-republikas-satversm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31</TotalTime>
  <Pages>10</Pages>
  <Words>12175</Words>
  <Characters>6941</Characters>
  <Application>Microsoft Office Word</Application>
  <DocSecurity>0</DocSecurity>
  <Lines>57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Jenerte</dc:creator>
  <cp:keywords/>
  <dc:description/>
  <cp:lastModifiedBy>Santa</cp:lastModifiedBy>
  <cp:revision>7</cp:revision>
  <dcterms:created xsi:type="dcterms:W3CDTF">2026-04-24T10:45:00Z</dcterms:created>
  <dcterms:modified xsi:type="dcterms:W3CDTF">2026-04-28T10:09:00Z</dcterms:modified>
</cp:coreProperties>
</file>