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25-TA-1390: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automātisko informācijas apmaiņu par darījumiem ar kriptoaktīviem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11.11.2025. 12:41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ne mazāk kā piecus gadus, bet ne vairāk kā 10 gadus pēc tā pārskata perioda beigām, uz kuru tas attiecas. Šajā punktā noteiktajās robežās konkrētu reģistra pieejamības termiņu nosaka attiecīgais ziņojošais kriptoaktīvu pakalpojumu sniedzējs, ņemot vērā objektīvus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uztur iepriekš izteikto iebildumu par Noteikumu projekta 43. punktu. Noteikumu projekts paredz, ka ziņojošais kriptoaktīvu pakalpojumu sniedzējs nosaka konkrēto glabāšanas termiņu 5, bet ne vairāk kā 10 gadus, balstoties uz “objektīviem kritērijiem”. Šāds risinājums neatbilst Datu regulas 5. panta 1. unkta e) apakšpunktam un 6. pnta 1. punkta c) un e) apakšpunktiem, jo glabāšanas termiņš kā būtisks datu apstrādes elements ir jānosaka normatīvajā aktā, nevis jādeleģē privātam pakalpojumu sniedzējam. Anotācijas papildinājums (kurā minēts, ka termiņa pagarinājums balstāms uz VID vai citas iestādes pieprasījumu) šo problēmu nenovērš, jo faktisko glabāšanas termiņu noteiks valsts iestāžu darbības, bet formālā atbildība par glabāšanas ierobežojuma principu joprojām tiktu uzlikta komersantam. Tas neatbilst tiesiskās noteiktības principam un nenodrošina skaidru pārziņu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Inspekcija lūdz precizēt 43. punkta redakciju, paredzot konkrētu maksimālo glabāšanas termiņu, kas atbilst datu apstrādes nolūkam, piemēram, reģistrs ir pieejams piecus gadus, bet uz valsts pārvaldes iestādes pamatota pieprasījuma pamata glabājams līdz desmit gadiem pēc attiecīgā pārskata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piecus gadus. Ja pastāv objektīvi apstākļi, pēc valsts pārvaldes iestādes pamatota pieprasījuma, reģistra pieejamības termiņu pagarināta par valsts pārvaldes iestādes pieprasījumā norādīto termiņu, bet ne ilgāk kā līdz 10 gadiem pēc tā pārskata perioda beigām, uz kuru tas attiecas.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ziņojošais kriptoaktīvu pakalpojumu sniedzējs attiecībā uz vienību, kas izmanto kriptoaktīvus, vai tās kontrolējošajām personām ir konstatējis apstākļu izmaiņas, kā rezultātā uzzina vai tam ir pamats zināt, ka sākotnējais apliecinājums ir nepareizs vai nepatiess, ziņojošais kriptoaktīvu pakalpojumu sniedzējs nevar paļauties uz sākotnējo apliecinājumu un tam ir jāiegūst jauns apliecinājums vai pamatots paskaidrojums un attiecīgā gadījumā dokumentācija, kas pamato sākotnējā apliecinājuma derīgumu.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24. punktā ietverto skaidrojumu, lūdzam vienveidot izteiksmi un direktīvā lietotās terminoloģijas konsekventai pārņemšanai aizstāt vārdu "derīgumu" ar terminu "pareizību".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ziņojošais kriptoaktīvu pakalpojumu sniedzējs attiecībā uz vienību, kas izmanto kriptoaktīvus, vai tās kontrolējošajām personām ir konstatējis apstākļu izmaiņas, kā rezultātā uzzina vai tam ir pamats zināt, ka sākotnējais apliecinājums ir nepareizs vai nepatiess, ziņojošais kriptoaktīvu pakalpojumu sniedzējs nevar paļauties uz sākotnējo apliecinājumu un tam ir jāiegūst jauns apliecinājums vai pamatots paskaidrojums un attiecīgā gadījumā dokumentācija, kas pamato sākotnējā apliecinājuma pareizību.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strukturētā formā. Attiecīgā informācija tiek uzskatīta par iesniegtu Valsts ieņēmumu dienestam tikai tad, ja tā tiek validēta.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vai tā anotācijā precīzāk skaidrot prasību informācijas sniegšanai strukturētā formā, kas pirmšķietami var būt plaši interpretējama, apdraudot konkrētās normas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34. punkts un anotācija, paskaidrojot, ka tiks izmantota mašīnlasāmā forma, kas būs publicēta Valsts ieņēmumu dienesta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mašīnlasāmā formā. Attiecīgā informācija tiek uzskatīta par iesniegtu Valsts ieņēmumu dienestam tikai tad, ja tā tiek validēta.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Ziņošana notiek, izmantojot Ekonomiskās sadarbības un attīstības organizācijas izstrādāto datu apmaiņas formātu, kas ir pieejams Ekonomiskās sadarbības un attīstības organizācijas tīmekļvietnē, kā arī ņemot vērā formātu un nosacījumus, kas pieņemti ar Eiropas Komisijas izdotajiem īstenošanas aktiem starptautiskās administratīvās sadarbības jomā, deviņu mēnešu laikā pēc tā kalendārā gada beigām, uz kuru attiecas ziņošanas prasības, kas piemērojamas ziņojošajiem kriptoaktīvu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īstenošanas akti var būt arī direktīvas vai lēmumi, tomēr noteikumu projektā atsauces pieļaujamas vienīgi uz tieši piemērojamiem Eiropas Savienības normatīvajiem aktiem (regulām), tādēļ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40. un 57.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Ziņošana notiek, izmantojot Ekonomiskās sadarbības un attīstības organizācijas izstrādāto datu apmaiņas formātu, kas ir pieejams Ekonomiskās sadarbības un attīstības organizācijas tīmekļvietnē, kā arī ņemot vērā formātu un nosacījumus, kas pieņemti ar tieši piemērojamiem Eiropas Savienības normatīvajiem aktiem starptautiskās administratīvās sadarbības jomā, deviņu mēnešu laikā pēc tā kalendārā gada beigām, uz kuru attiecas ziņošanas prasības, kas piemērojamas ziņojošajiem kriptoaktīvu pakalpojumu 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ne mazāk kā piecus gadus, bet ne vairāk kā 10 gadus pēc tā pārskata perioda beigām, uz kuru tas attiecas. Šajā punktā noteiktajās robežās konkrētu reģistra pieejamības termiņu nosaka attiecīgais ziņojošais kriptoaktīvu pakalpojumu sniedzējs, ņemot vērā objektīvus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Vispārīgajā datu aizsardzības regulā nostiprinātos godprātības un pārredzamības principus, aicinām noteikt, ka reģistrs ir pieejams piecus gadus pēc pārskata perioda beigām. Ja pastāv objektīvi apstākļi, termiņš var tikt pagarināts, bet ne ilgāk kā līdz 10 gadiem pēc pārskata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piecus gadus. Ja pastāv objektīvi apstākļi, reģistra pieejamības termiņš var tikt pagarināts, bet ne ilgāk kā līdz 10 gadiem pēc tā pārskata perioda beigām, uz kuru tas attiecas.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piecus gadus. Ja pastāv objektīvi apstākļi, pēc valsts pārvaldes iestādes pamatota pieprasījuma, reģistra pieejamības termiņu pagarināta par valsts pārvaldes iestādes pieprasījumā norādīto termiņu, bet ne ilgāk kā līdz 10 gadiem pēc tā pārskata perioda beigām, uz kuru tas attiecas.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Finanšu ministrijai ar valsti, kas nav Eiropas Savienības dalībvalsts, noslēdzot kompetento iestāžu līgumu, kas paredz automātisku informācijas apmaiņu, kas līdzvērtīga šo noteikumu 3.2. apakšnodaļā minētajai informācijai, ir tiesības, iesniedzot pamatotu pieprasījumu, lūgt Eiropas Komisiju sniegt izvērtējumu par minēto kompetento iestāžu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ņem vērā Finanšu ministrijas pamatojumu, tomēr norāda, ka OECD CARF standarts un DAC8 21. apsvērumā minētie drošības mehānismi neaizstāj Datu regulas V nodaļā noteikto prasību par aizsardzības līmeņa pietiekamības izvērtējumu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Inspekcija iesaka Finanšu ministrijai, slēdzot nolīgumus ar trešajām valstīm, pēc nepieciešamības konsultēties ar Eiropas Komisiju, jo atbildība par iespējamām neatbilstībām Datu regulas prasībām būs jāuzņemas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apliecina, ka tā sadarbosies ar citām Eiropas Savienības dalībvalstīm, kur iespējams konsultējoties ar Eiropas Komisiju, lai slēdzot nolīgumus ar trešajām valstīm mazinātu Datu regulas prasību neatbilstību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Finanšu ministrijai ar valsti, kas nav Eiropas Savienības dalībvalsts, noslēdzot kompetento iestāžu līgumu, kas paredz automātisku informācijas apmaiņu, kas līdzvērtīga šo noteikumu 3.2. apakšnodaļā minētajai informācijai, ir tiesības, iesniedzot pamatotu pieprasījumu, lūgt Eiropas Komisiju sniegt izvērtējumu par minēto kompetento iestāžu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nodrošināt Padomes 2023. gada 17. oktobra direktīvas (ES) 2023/2226, ar ko groza Direktīvu 2011/16/ES par administratīvu sadarbību nodokļu jomā, 1. panta 6. punkta (grozītās direktīvas 8. ad panta 3. punkta “c” apakšpunkta otrās, trešās un ceturtās daļas)(sal. sk. noteikumu projekta 31.-33.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 ietverot atsauci uz MK noteikumu projekta 31., 32. un 33.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11:58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atjaunotā saraksta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2.10. apakšpunkta otrā teikuma atbilstību Padomes 2023. gada 17. oktobra direktīvas (ES) 2023/2226, ar ko groza Direktīvu 2011/16/ES par administratīvu sadarbību nodokļu jomā (turpmāk – DAC8) III. pielikuma IV. iedaļai (grozītās direktīvas VI. pielikuma IV. iedaļas D punkta 6. 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precizētā saraksta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cita valsts, ar kuru Latvija ir aktivizējusi informācijas apmaiņu, izmantojot paziņojumu, saskaņā ar daudzpusējo kompetento iestāžu līgumu par automātisko informācijas apmaiņu starp nodokļu iestādēm saskaņā ar kriptoaktīvu ziņošanas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kriptoaktīvu ziņošanas standarta pieejamību un saistošo spēku attiecībā uz privātpersonām vai svītrot atsauci uz minēto standartu saskaņā ar Ministru kabineta 2009. gada 3. februāra noteikumu Nr. 108 "Normatīvo aktu projektu sagatavošanas noteikumi" 131.2. apakšpunktu, nepieciešamības gadījumā pārņemot šī standarta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nav ietvertas atsauces uz kriptoaktīvu ziņošanas standartu, savukārt noteikumu projekta 2.19.2.apakšpunktā norādītais dokuments  ir līguma nosaukums - Daudzpusējais kompetento iestāžu līgums par automātisko informācijas apmaiņu saskaņā ar kriptoaktīvu ziņošanas standartu (Multilateral Competent Authority Agreement on Automatic Exchange of Information pursuant to the Crypto-Asset Reporting Framework –CARF MCAA).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cita valsts, ar kuru Latvija ir aktivizējusi informācijas apmaiņu, izmantojot paziņojumu, saskaņā ar Daudzpusējo kompetento iestāžu līgumu par automātisko informācijas apmaiņu starp nodokļu iestādēm saskaņā ar kriptoaktīvu ziņošanas standartu;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“līdzdalības daļa kapitālā”, “apdrošināšanas līgums”, “annuitātes līgums”, “apdrošināšanas līgums ar līdzekļu uzkrāšanu”, “naudas vērtība”, “starptautiska organizācija”, "valdības vienība" atbilst likuma “Par nodokļiem un nodevām” XII. nodaļā lietotajiem terminiem. Šajos noteikumos “finanšu iestāde” ir turētājiestāde, noguldījumu iestāde, ieguldījumu iestāde vai specializētā apdrošināšanas sabiedrība likuma “Par nodokļiem un nodevām” XII. nodaļas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tādi termini kā “apdrošināšanas līgums” un “apdrošināšanas līgums ar līdzekļu uzkrāšanu” noteikumu projektā netiek lietoti, tādēļ lūdzam atbilstoši precizēt noteikumu projekta 3. punktu, skaidrojot vienīgi terminus, kuri tiek lietoti noteikumu projekta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"finanšu iestāde", “līdzdalības daļa kapitālā”, “annuitātes līgums”, "naudas vērtība”, “starptautiska organizācija”, "valdības vienība" atbilst likuma “Par nodokļiem un nodevām” XII. nodaļā lietotajiem terminiem.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Individuālā kriptoaktīvu lietotāja iesniegtais apliecinājums ir derīgs tikai tad, ja to ir parakstījis vai citādi pozitīvi apliecinājis individuālais kriptoaktīvu lietotājs, tas ir datēts ne vēlāk kā saņemšanas dienā un tajā par individuālo kriptoaktīvu lietotāju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izriet, ka no korespondējošās direktīvas vienības izriet, ka parakstīt apliecinājumu var arī kontrolējošā persona, tādēļ lūdzam izvērtēt un nepieciešamības gadījumā atbilstoši papildināt noteikumu projekta 11.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vārdus "citādi pozitīvi apliecinājis" svītrot vai precizēt atbilstoši nacionālajiem normatīvajiem aktiem par dokumentu juridisko spēku. Norādām, ka burtiska direktīvu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Eiropas Savienības prasībām (vairāk par pārņemšanas metodēm sk. Tieslietu ministrijas 2014. gada Eiropas Savienības tiesību aktu ieviešanas rokasgrāmatā, kas pieejama: </w:t>
            </w:r>
            <w:r w:rsidR="00000000" w:rsidRPr="00000000" w:rsidDel="00000000">
              <w:rPr>
                <w:i w:val="1"/>
                <w:rtl w:val="0"/>
              </w:rPr>
              <w:t xml:space="preserve">https://www.tm.gov.lv/lv/metodiskie-ieteikumi</w:t>
            </w:r>
            <w:r w:rsidR="00000000" w:rsidRPr="00000000" w:rsidDel="00000000">
              <w:rPr>
                <w:rtl w:val="0"/>
              </w:rPr>
              <w:t xml:space="preserve">). Svarīgi ir ņemt vērā ne tikai pašas direktīvas normu saturu, bet arī nacionālā tiesību akta, kurā direktīvu plānots pārņemt, juridisko valodu un 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un 18. punkts. Papildu vēršam uzmanību, ka tiesības kontrolējošai personai parakstīt apliecinājumu ir paredzētas MK noteikumu projekta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Individuālā kriptoaktīvu lietotāja iesniegtais apliecinājums ir derīgs tikai tad, ja to ir parakstījis vai citādi, sevi identificējot, apliecinājis individuālais kriptoaktīvu lietotājs, tas ir datēts ne vēlāk kā saņemšanas dienā un tajā par individuālo kriptoaktīvu lietotāju ir norādīta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vai tā anotācijas nav saprotams, kurš subjekts (VID vai ziņojošais pakalpojuma sniedzējs) konkrētajā datu apstrādes posmā būs uzskatāms par pārzini. Šāda skaidrojuma trūkums rada neskaidrību attiecībā uz datu subjekta tiesību īstenošanu, jo saskaņā ar Vispārīgās datu aizsardzības regulas (Datu regula) 3. nodaļu datu subjektam ir jāspēj viennozīmīgi identificēt pārzini, tādejādi spējot realizēt savas Datu regulā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Noteikumu projektā vai vismaz tā anotācijā būtu jāiekļauj skaidra norāde par pārziņa statusu, lai nodrošinātu atbilstību Datu regulas prasībām un skaidru atbildības sadalījumu starp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vai tā anotāciju ar pārziņu lomas sadalījumu, skaidri norādot, kurš subjekts ir datu pārzinis un kādā veidā datu subjekts var realizēt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Ziņošanas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atbilstoši Valsts ieņēmumu dienesta tīmekļvietnē publicētajai informācijai. Attiecīgā informācija tiek uzskatīta par iesniegtu Valsts ieņēmumu dienestam tikai tad, ja tā tiek validēta.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priekšnoteikumus un termiņus (ja attiecināms) informācijas validēšanai.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34. punkts un papildināta anotācija, paskaidrojot, kā notiks iesniegtās informācijas validācija un ka datu iesniegšanai tiks izmantota OECD izstrādātā strukturēto datu forma (kuru VID publicēs savā mājas lapā, kopā ar skaidrojošo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mašīnlasāmā formā. Attiecīgā informācija tiek uzskatīta par iesniegtu Valsts ieņēmumu dienestam tikai tad, ja tā tiek validēta.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atbilstoši Valsts ieņēmumu dienesta tīmekļvietnē publicētajai informācijai. Attiecīgā informācija tiek uzskatīta par iesniegtu Valsts ieņēmumu dienestam tikai tad, ja tā tiek validēta.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informācija tiek sagatavota un iesniegta atbilstoši Valsts ieņēmumu dienesta tīmekļvietnē publicētajai informācijai. Vēršam uzmanību, ka minētajā tīmekļvietnē ietvertā informācija nav juridiski saistoša un informācijas iesniegšanas kārtību ir pilnvarots noteikt vienīgi Ministru kabinets, kas nevar veikt pārpilnvarošanu.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Ziņojošais kriptoaktīvu pakalpojumu sniedzējs šo noteikumu 3.2. apakšnodaļā minēto informāciju iesniedz Valsts ieņēmumu dienestam, izmantojot Valsts ieņēmumu dienesta elektroniskās deklarēšanas sistēmu līdz pārskata periodam sekojošā gada 30. jūnijam. Attiecīgais ziņojošais kriptoaktīvu pakalpojumu sniedzējs šo informāciju sagatavo un elektroniski iesniedz Valsts ieņēmumu dienestam mašīnlasāmā formā. Attiecīgā informācija tiek uzskatīta par iesniegtu Valsts ieņēmumu dienestam tikai tad, ja tā tiek validēta.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39.5.6. kopējā patiesā tirgus vērtība, vienību kopskaits un maksājumu darījumu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2011. gada 15. februāra Direktīvas 2011/16/ES par administratīvu sadarbību nodokļu jomā un ar ko atceļ Direktīvu 77/799/EEK, 8.ad panta 3. punkta "c" punkta "vi" punktā norādīts uz </w:t>
            </w:r>
            <w:r w:rsidR="00000000" w:rsidRPr="00000000" w:rsidDel="00000000">
              <w:rPr>
                <w:u w:val="single"/>
                <w:rtl w:val="0"/>
              </w:rPr>
              <w:t xml:space="preserve">neliela apjoma</w:t>
            </w:r>
            <w:r w:rsidR="00000000" w:rsidRPr="00000000" w:rsidDel="00000000">
              <w:rPr>
                <w:rtl w:val="0"/>
              </w:rPr>
              <w:t xml:space="preserve"> maksājumu darījumu, par kuriem jāsniedz ziņojumi, skaits, tādēļ lūdzam izvērtēt un atbilstoši papildināt noteikumu projektu vai skaidrot, kādēļ tas nav nepieciešams noteikumu projekta anotācijā. Līdzīgi lūdzam izvērtēt un precizēt arī citas noteikumu projekta vienības, piemēram, 30.4.6.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iebildumā norādīto un informējam, ka DAC8 minētā neliela apjoma maksājumu definīcija ir ietverta MK noteikumu projekta 2.1.3. apakšpunktā un definēta kā “maksājuma darījums”, attiecīgi jau pašreiz MK noteikumu projekta 30.4.6. un 39.5.6. apakšpunktā ir atsauces uz DAC8 ietverto definīciju, izmantojot MK noteikumu 2.1.3. apakšpunkta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39.5.6. kopējā patiesā tirgus vērtība, vienību kopskaits un maksājumu darījumu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Ziņošana notiek, izmantojot Ekonomiskās sadarbības un attīstības organizācijas izstrādāto datu apmaiņas formātu, kas ir pieejams Ekonomiskās sadarbības un attīstības organizācijas tīmekļvietnē, deviņu mēnešu laikā pēc tā kalendārā gada beigām, uz kuru attiecas ziņošanas prasības, kas piemērojamas ziņojošajiem kriptoaktīvu pakalpojumu sniedzējiem. Attiecībā uz statistikas datu sarakstu, kas dalībvalstīm jāsniedz Padomes 2023. gada 17. oktobra Direktīvas (ES) 2023/2226, ar ko groza Direktīvu 2011/16/ES par administratīvu sadarbību nodokļu jomā, izvērtēšanas vajadzībām, ziņošana notiek, ievērojot standarta elektronisko formātu, divu mēnešu laikā pēc tam, kad beidzies pārskata periods, uz kuru attiecas ziņojošā kriptoaktīvu pakalpojumu sniedzēja ziņošanas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projektu, svītrojot no tā atsauci uz direktīvu, bet tā vietā izdarot atsauci uz Latvijas ārējiem normatīvajiem aktiem, ar kuriem attiecīgā direktīva ir pārņemta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40. punkts, paredzot, ka tiks izmantots OECD standarts, kā arī ar Komisijas Īstenošanas regulu apstiprinātā forma datu apmaiņai.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Ziņošana notiek, izmantojot Ekonomiskās sadarbības un attīstības organizācijas izstrādāto datu apmaiņas formātu, kas ir pieejams Ekonomiskās sadarbības un attīstības organizācijas tīmekļvietnē, kā arī ņemot vērā formātu un nosacījumus, kas pieņemti ar tieši piemērojamiem Eiropas Savienības normatīvajiem aktiem starptautiskās administratīvās sadarbības jomā, deviņu mēnešu laikā pēc tā kalendārā gada beigām, uz kuru attiecas ziņošanas prasības, kas piemērojamas ziņojošajiem kriptoaktīvu pakalpojumu 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Efektīva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apakšsadaļā pamatoti skaidrot noteikumu projekta 42. punktā ietvertā regulējuma atbilstību likuma "Par nodokļiem un nodevām" (proti, likumprojekta "Grozījumi likumā "Par nodokļiem un nodevām" (Nr.973/Lp14) redakcijā)15. panta divpadsmitajā daļā ietvertajam pilnvarojumam. Ja attiecīgu skaidrojumu nav iespējams sniegt, lūdzam svītrot vai precizēt minēto noteikumu projekta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minētajā pilnvarojumā minētais vārds "kārtība" ("kārtība, kādā informācija tiek iegūta, pārbaudīta un iesniegta Valsts ieņēmumu dienestam")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Efektīva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ne mazāk kā piecus gadus, bet ne vairāk kā 10 gadus pēc tā pārskata perioda beigām, uz kuru tas attiecas. Šajā punktā noteiktajās robežās konkrētu reģistra pieejamības termiņu nosaka attiecīgais ziņojošais kriptoaktīvu pakalpojumu sniedzējs, ņemot vērā objektīvus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punkts paredz, ka ziņojošais kriptoaktīvu pakalpojumu sniedzējs glabā informāciju piecus gadus, bet, pamatojoties uz “objektīviem kritērijiem”, var pagarināt glabāšanas termiņu līdz desmit gadiem. Šāds nosacījums neatbilst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 panta 1. punkta e) apakšpunktu personas dati jāglabā formā, kas ļauj identificēt datu subjektus ne ilgāk, kā tas nepieciešams nolūkiem, kuru dēļ dati tiek apstrādāti (glabāšanas ierobežojuma princips). Savukārt no 6. panta 1. punkta c) un e) apakšpunkta izriet likumdevēja pienākums precīzi noteikt apstrādes nolūkus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nolūks šajā gadījumā — nodokļu administrēšanas un kontroles funkciju nodrošināšana — ir sabiedrības intereses īstenošana valsts pārvaldes ietvaros, un tādēļ vienīgi likumdevējs var leģitīmi noteikt, cik ilgi personas dati ir nepieciešami šī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glabāšanas termiņa noteikšana privāto tiesību subjektam (ziņojošajam kriptoaktīvu pakalpojumu sniedzējam) pēc viņa ieskata, balstoties uz neskaidri definētiem “objektīviem kritērijiem”, nav uzskatāma par tiesiski korektu datu apstrādes regulējumu. Šāda pieeja neatbilst arī tiesiskās noteiktības principam, jo datu subjekts nevar saprast, cik ilgi viņa dati tiks glabāti un kādi faktori ietekmēs šo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glabāšanas termiņš ir būtisks datu apstrādes aspekts, kas jānosaka tieši normatīvajā aktā, nevis jāatstāj komersanta rīcības brīvībā, ja netiek noteikti skaidri un objektīvi glabāšanas izvērtēšanas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būtu jāparedz skaidrs un viennozīmīgs datu glabāšanas termiņš vai, ja nepieciešama elastība, jānorāda precīzi, objektīvi kritēriji, kuru dēļ glabāšanas termiņš var tikt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Noteikumu projekta 43. punkta redakciju,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konkrētu glabāšanas termiņu, kas atbilst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alternatīvi, precīzi noteikt gadījumus, kad glabāšanas termiņu drīkst pagarināt, kā arī subjektu, kurš ir tiesīgs šādu pagarinājumu leģitīmi izvērtēt (piemēram,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Ziņojošais kriptoaktīvu pakalpojumu sniedzējs reģistrē veiktos pasākumus un visu informāciju, kas izmantota šo noteikumu 2. un 3. nodaļā noteikto pienācīgas pārbaudes procedūru un ziņošanas prasību izpildei. Šāds reģistrs ir pieejams piecus gadus. Ja pastāv objektīvi apstākļi, pēc valsts pārvaldes iestādes pamatota pieprasījuma, reģistra pieejamības termiņu pagarināta par valsts pārvaldes iestādes pieprasījumā norādīto termiņu, bet ne ilgāk kā līdz 10 gadiem pēc tā pārskata perioda beigām, uz kuru tas attiecas.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Finanšu ministrijai ar valsti, kas nav Eiropas Savienības dalībvalsts, noslēdzot kompetento iestāžu līgumu, kas paredz automātisku informācijas apmaiņu, kas līdzvērtīga šo noteikumu 3.2. apakšnodaļā minētajai informācijai, ir tiesības, iesniedzot pamatotu pieprasījumu, lūgt Eiropas Komisiju sniegt izvērtējumu par minēto kompetento iestāžu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paredz, ka Finanšu ministrija var (bet ne obligāti) lūgt Eiropas Komisijas viedokli par starpvalstu kompetento iestāžu nolīgumiem, kas noslēgti ar valstīm vai teritorijām ārpus Eiropas Savienības. Šāda redakcija piešķir Finanšu ministrijai tiesības, nevis pienākumu, izvērtēt datu aizsardzības līmeņa pietiekamību trešajās valstīs pirms personas datu pārsūtīšanas.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V nodaļu, jebkāda personas datu pārsūtīšana uz trešo valsti vai starptautisku organizāciju ir pieļaujama tikai tad, ja tiek nodrošināts līdzvērtīgs datu aizsardzības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pants paredz, ka datu pārsūtīšana ir atļauta, ja par konkrēto valsti ir pieņemts Eiropas Komisijas lēmums par aizsardzības līmeņa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šāda lēmuma nav, tad saskaņā ar 46. pantu pārzinim (vai šajā gadījumā – publiskai iestādei, kas noslēdz nolīgumu) ir jāparedz atbilstoši aizsardzības pasākumi, kas nodrošina datu subjekta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pants paredz tikai ierobežotus izņēmumus, kad pārsūtīšana iespējama bez šāda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situācijā, kad tiek plānota automātiska informācijas apmaiņa ar trešajām valstīm, Finanšu ministrijai kā kompetentajai iestādei ir pienākums pārliecināties, ka datu aizsardzības līmenis šajās valstīs atbilst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pienākums netiek tieši noteikts, pastāv risks, ka tiks noslēgti nolīgumi ar valstīm, kuras nenodrošina līdzvērtīgu aizsardzības līmeni, kā rezultātā datu pārsūtīšana kļūtu nelikumīga (Datu regulas 44. pants), un atbildība par šādu apstrādi varētu iestāties gan Valsts ieņēmumu dienestam, gan ziņojošajam pakalpojumu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projekta 44. punkta redakcija ir precizējama, paredzot pienākumu, nevis tikai tiesības, Finanšu ministrijai lūgt Eiropas Komisijas viedokli par valstu vai teritoriju atbilstību datu aizsardzības līmeņa prasībām, izņemot gadījumus, kad Komisija jau ir pieņēmusi lēmumu par šīs valsts vai teritorijas datu aizsardzības līmeņa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Noteikumu projekta 44. punkta redakciju, aizstājot formulējumu “var lūgt Eiropas Komisijas viedokli” ar “lūdz Eiropas Komisijas viedokli”, izņemot gadījumus, kad par konkrēto valsti jau ir pieņemts Eiropas Komisijas lēmums saskaņā ar Datu regulas 45.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DAC8 21. apsvērumā jau ir norādīts, ka “Ciktāl starptautiskais standarts ziņošanai un automātiskai informācijas apmaiņai par kriptoaktīviem, proti, ESAO kriptoaktīvu ziņošanas sistēma – ir minimālais standarts vai līdzvērtīgs standarts, kas nosaka minimālo darbības jomu un saturu tā īstenošanai jurisdikcijās, nebūtu jāpieprasa, lai Komisija veiktu šīs direktīvas un ESAO kriptoaktīvu ziņošanas sistēmas atbilstības noteikšanu, izmantojot īstenošanas aktu, ja starp ārpus Savienības esošajām jurisdikcijām un visām dalībvalstīm ir noslēgts spēkā esošs atbilstīgs kompetento iestāžu nolīgums.” Attiecīgi, jau pieņemot DAC8, bija paredzēts izņēmums attiecībā uz t.s. trešajām valstīm, kas būs ieviesušas OECD apstiprināto CARF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dalībvalstu datu pārziņiem, no kurām Valsts ieņēmumu dienests saņems datus, būs saistošs Daudzpusējā kompetento iestāžu līguma par automātisko informācijas apmaiņu saskaņā ar kriptoaktīvu ziņošanas standartu 5.pants (https://www.oecd.org/en/publications/international-standards-for-automatic-exchange-of-information-in-tax-matters_896d79d1-en/full-report/component-8.html#chapter-d1e4755-95be9046e6) un šī panta komentāri, kas atrunā konfidencialitātes un datu drošības prasības, kas jāievēro līgumslēdzēju valstīm. Turklāt OECD veic konfidencialitātes un datu drošības izvērtējumu, Izvērtējums tiek veikts katrai valstij pirms tā uzsāk informācijas apmaiņu ar citām valstīm, kā arī periodiski tiek atkārtots. Ir izstrādātas vadlīnijas, kur aprakstīts, kādi aspekti tiek skatīti OECD izvērtējumā (https://www.oecd.org/content/dam/oecd/en/networks/global-forum-tax-transparency/confidentiality-data-safeguards-assessments-tor.pdf). Tādējādi ir nodrošināta līdzvērtīga drošības prasību ievērošanas kontrole arī no trešo valstu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Finanšu ministrijai ar valsti, kas nav Eiropas Savienības dalībvalsts, noslēdzot kompetento iestāžu līgumu, kas paredz automātisku informācijas apmaiņu, kas līdzvērtīga šo noteikumu 3.2. apakšnodaļā minētajai informācijai, ir tiesības, iesniedzot pamatotu pieprasījumu, lūgt Eiropas Komisiju sniegt izvērtējumu par minēto kompetento iestāžu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skaidrot  DAC8 ietvertās grozītās direktīvas 8.ad panta 3. punkta "c" apakšpunkta otrās, trešās un ceturtās daļas, VI. pielikuma III. iedaļas ievaddaļas un DAC8 II pielikuma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tieši DAC8 ietvertās grozītās direktīvas VI. pielikuma II. iedaļas C. punkts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punktā. Tāpat lūdzam skaidrot, kā DAC8 ietvertās grozītās direktīvas VI. pielikuma III. iedaļas C. punkta 2. apakšpunkts pārņemts noteikumu projekta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informāciju par DAC8 ietvertās grozītās direktīvas 8. ad panta 8. un 11. punkta pārņemšanu, kas nav atspoguļota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izvērstāk skaidrot DAC8 ietvertās grozītās direktīvas VI. pielikuma V. iedaļas A. - F. punkta un VI. pielikuma IV. iedaļas prasību pārņemšanu noteikumu projektā (apakšpunktu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5.4.1. tabula. Paralēli paskaidrojam, ka šajā anotācija nav nepieciešams iekļaut atsauces uz DAC8 II pielikuma pārņemšanu, jo šīs normas ir pārņemtas ar Ministru kabineta 2025. gada 25. jūnija noteikumiem Nr. 380 “Grozījumi Ministru kabineta 2023. gada 7. marta noteikumos Nr. 97 “Noteikumi par automātisko informācijas apmaiņu par pārdevējiem, kuri gūst ienākumus, izmantojot digitālās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projekts paredz fizisku personu datu apstrādi. Noteikumu projekts nosaka kārtību, kādā tiek iegūta, pārbaudīta, apkopota un Valsts ieņēmumu dienestam iesniegta informācija par kriptoaktīvu darījumiem, tostarp fizisku personu identifikācijas dati (vārds, uzvārds, adrese, dzimšanas datums, nodokļu maksātāja identifikācijas numurs), rezidences informācija un finanšu darījumu dati. Minētā informācija attiecas uz identificētām vai identificējamām fiziskām personām, un tās apstrāde atbilst personas datu apstrādes jēdzienam saskaņā ar Vispārīgās datu aizsardzības regulas (Datu regula) 4.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anotācijas 8.1.13. sadaļā norādītā atzīme “Nē” nav pareiza, jo noteikumu projekts skar datu aizsardzības jomu. Līdz ar to šī sadaļa ir jāaizpilda,  atbilstoši Valsts kancelejas izstrādātajām vadlīnijām “Vadlīnijas tiesību akta projekta sākotnējās ietekmes novērtēšanai un novērtējuma ziņojuma sagatavošanai vienotajā tiesību aktu izstrādes un saskaņošanas portālā”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8.1.13. sadaļu, ir nepieciešams arī izvērtēt Noteikumu projekta redakciju no Datu regulas prasību viedokļa, pārliecinoties, ka tajā ir ietverts viss nepieciešamais personas datu apstrādes regulējums – datu apstrādes mērķis, tiesiskais pamats, datu subjektu un datu kategorijas, datu saņēmēji, glabāšanas termiņi un attiecīgie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automātisko informācijas apmaiņu par darījumiem ar kriptoaktīviem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projektu virzīt apstiprināšanai Ministru kabinetā pēc tam, kad likumprojekts "Grozījumi likumā "Par nodokļiem un nodevām" (Nr.973/Lp14) tiks Saeimā pieņemts 3. lasījumā un Valsts prezidents to būs izsludinājis, ņemot vērā, ka likumprojektā vēl var izdarīt izmaiņas un tādējādi, iespējams, var tikt apdraudēts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(Nr.973/Lp14) 2025. gada 6. novembrī 3. lasījumā pieņemts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automātisko informācijas apmaiņu par darījumiem ar kriptoaktīviem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pārvedums - darījums, ar kuru kriptoaktīvu, par kuru jāziņo, pārvieto no vai uz viena kriptoaktīvu lietotāja kriptoaktīva adresi vai kontu, kas nav adrese vai konts, ko tā paša kriptoaktīvu lietotāja vārdā uztur ziņojošais kriptoaktīvu pakalpojumu sniedzējs, ja, pamatojoties uz ziņojošā kriptoaktīvu pakalpojumu sniedzēja rīcībā esošo informāciju, darījuma brīdī ziņojošais kriptoaktīvu pakalpojumu sniedzējs nevar noteikt, ka darījums ir maiņas darījums;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neskaidrot terminus, kas lietoti likumā "Par nodokļiem un nodevām", piem., terminu "pārvedums".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“pārvedums” nav definēts likumā “Par nodokļiem un nodevām”, turklāt šis termins tiek lietots specifiski, lai aprakstītu darījumus ar kriptoaktīviem.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pārvedums - darījums, ar kuru kriptoaktīvu, par kuru jāziņo, pārvieto no vai uz viena kriptoaktīvu lietotāja kriptoaktīva adresi vai kontu, kas nav adrese vai konts, ko tā paša kriptoaktīvu lietotāja vārdā uztur ziņojošais kriptoaktīvu pakalpojumu sniedzējs, ja, pamatojoties uz ziņojošā kriptoaktīvu pakalpojumu sniedzēja rīcībā esošo informāciju, darījuma brīdī ziņojošais kriptoaktīvu pakalpojumu sniedzējs nevar noteikt, ka darījums ir maiņas darījums;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atjaunotā saraksta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kas ir saprotams ar atjaunoto sarakstu (t.i., noteikumu projekta 41. punktā norādīts uz aktualizēto ziņojošo vai iesaistīto valstu sarakstu ) un kā nosakāms tā spēkā stāšanās brīdis.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iepriekšpastāvējis individuāls kriptoaktīvu lietotājs - individuāls kriptoaktīvu lietotājs, kas līdz 2025. gada 31. decembrim ir nodibinājis darījuma attiecības ar ziņojošo kriptoaktīvu pakalpojumu sniedzēju. Par iepriekšpastāvējušu individuālu kriptoaktīvu lietotāju uzskata arī personu, kura rezidences valsts nodokļu vajadzībām ir iekļauta šo noteikumu 41. punktā minētajā sarakstā, ja darījuma attiecības ar personu ir nodibinātas pirms precizētā saraksta spēkā stāšanās;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kriptoaktīvu lietotājs, par kuru jāsniedz ziņojums – kriptovalūtu lietotājs, kas ir persona, par kuru jāsniedz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ar norādi "un kura ir kādas dalībvalsts rezidente" atbilstoši korespondējošajā direktīvas vienībā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Papildu paskaidrojam, ka 2.8. apakšpunktā minētā definīcija ir gana plaša, lai “personu, par kuru jāsniedz ziņojums” loks aptvertu gan Eiropas Savienības dalībvalstu nodokļu rezidentus, gan to valstu, kuras būs ieviesušas CARF standartu, nodokļu rezidentus, tāpēc nav iekļauta atsauce uz to, ka persona ir Eiropas Savienības dalībvalsts rezidente.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kriptoaktīvu lietotājs, par kuru jāsniedz ziņojums – kriptovalūtu lietotājs, kas ir persona, par kuru jāsniedz ziņojums;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vienība, kuras kapitāla daļas tiek regulāri tirgotas vienā vairākos regulētajos finanšu instrumentu tirgos, vai tāda vienības saistītā vienība, kuras kapitāla daļas tiek tirgotas vienā vairākos regulētajos finanšu instrumentu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vienība, kuras kapitāla daļas tiek regulāri tirgotas vienā vai vairākos regulētajos finanšu instrumentu tirgos, vai tāda vienības saistītā vienība, kuras kapitāla daļas tiek tirgotas vienā vai  vairākos regulētajos finanšu instrumentu tirgos;"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1.15.1.apakšpunkts.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vienība, kuras kapitāla daļas tiek regulāri tirgotas vienā vai vairākos regulētajos finanšu instrumentu tirgos, vai tāda vienības saistītā vienība, kuras kapitāla daļas tiek tirgotas vienā vai vairākos regulētajos finanšu instrumentu tirgos;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vienības darbības paredz pilnībā vai daļēji turēt vienas vai vairāku tādu meitasuzņēmumu emitētās akcijas, kuri veic tirdzniecību vai komercdarbību, kas nav finanšu iestādes komercdarbība, un sniegt finansējumu un pakalpojumus šādiem meitasuzņēmumiem, bet vienība neatbilst šāda statusa kritērijiem, ja tā darbojas kā ieguldījumu fonds, piemēram, privāts kapitāla vērtspapīru fonds, riska kapitāla fonds, fonds, kas veic pirkšanas darījumus, izmantojot aizņemtus līdzekļus, vai ieguldījumu sabiedrība, kuras nolūks ir iegādāties vai finansēt sabiedrības un tad būt līdzdalības daļu turētājai šādās sabiedrībās, turot kapitāla aktīvus ieguldīšanas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pēc vārdiem "ja tā darbojas" nav jāpapildina ar vārdiem "vai sevi prezentē", ievērojot DAC8 III. pielikuma IV. iedaļā (grozītās direktīvas VI. pielikuma IV. iedaļas D punkta 10.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2.24.2.apakšpunkts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vienības darbības paredz pilnībā vai daļēji turēt vienas vai vairāku tādu meitasuzņēmumu emitētās akcijas, kuri veic tirdzniecību vai komercdarbību, kas nav finanšu iestādes komercdarbība, un sniegt finansējumu un pakalpojumus šādiem meitasuzņēmumiem, bet vienība neatbilst šāda statusa kritērijiem, ja tā darbojas (vai sevi kā tādu deklarē) kā ieguldījumu fonds, piemēram, privāts kapitāla vērtspapīru fonds, riska kapitāla fonds, fonds, kas veic pirkšanas darījumus, izmantojot aizņemtus līdzekļus, vai ieguldījumu sabiedrība, kuras nolūks ir iegādāties vai finansēt sabiedrības un tad būt līdzdalības daļu turētājai šādās sabiedrībās, turot kapitāla aktīvus ieguldīšanas nolūkā;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“līdzdalības daļa kapitālā”, “apdrošināšanas līgums”, “annuitātes līgums”, “apdrošināšanas līgums ar līdzekļu uzkrāšanu”, “naudas vērtība”, “starptautiska organizācija”, "valdības vienība" atbilst likuma “Par nodokļiem un nodevām” XII. nodaļā lietotajiem terminiem. Šajos noteikumos “finanšu iestāde” ir turētājiestāde, noguldījumu iestāde, ieguldījumu iestāde vai specializētā apdrošināšanas sabiedrība likuma “Par nodokļiem un nodevām” XII. nodaļas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“finanšu iestāde" ietver sevī turētājiestādi, noguldījumu iestādi, ieguldījumu iestādi vai specializēto apdrošināšanas sabiedrību arī likuma “Par nodokļiem un nodevām” XII. nodaļas izpratnē, tādēļ lūdzam vienveidot izteiksmi noteikumu projekta 3. punktā, ņemot vērā, ka abu normatīvo aktu izpratnē ar terminu "finanšu iestāde" saprotams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nepieciešamību un svītrot noteikumu projekta 3. punktu, ņemot vērā, ka pirmšķietami nav pamata apšaubīt to, ka noteikumu projektā lietotā terminoloģija atbilst tai, kas izmantota attiecīgajā likuma nodaļā, kas paredz pilnvarojumu noteikumu projekta izdošanai.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“finanšu iestāde”, “līdzdalības daļa kapitālā”, “apdrošināšanas līgums”, “annuitātes līgums”, “apdrošināšanas līgums ar līdzekļu uzkrāšanu”, “naudas vērtība”, “starptautiska organizācija”, "valdības vienība" atbilst likuma “Par nodokļiem un nodevām” XII. nodaļā lietotajiem terminiem."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Šajos noteikumos lietotie termini – “kriptoaktīvs, par kuru jāziņo”, “naudas līdzekļi”, “elektroniskā nauda”, “centrālās bankas digitālā valūta”, “maiņas darījums”, “finanšu aktīvs”, "finanšu iestāde", “līdzdalības daļa kapitālā”, “annuitātes līgums”, "naudas vērtība”, “starptautiska organizācija”, "valdības vienība" atbilst likuma “Par nodokļiem un nodevām” XII. nodaļā lietotajiem terminiem.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Ziņojošais kriptoaktīvu pakalpojumu sniedzējs šajā nodaļā noteikto pienācīgas pārbaudes procedūras pienākumu izpildē var paļauties uz trešo personu – ārpakalpojumu sniedzēju, pienācīgas pārbaudes procedūras gaitā iegūtajiem rezultātiem, taču par šā pienākuma izpildi atbildīgs ir ziņojošais kriptoaktīvu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uz pienākumu izpildi (proti, pienācīgas pārbaudes procedūras pienākumu) vai skaidrot, par kādu konkrēti pienākuma izpildi atbildīgs ir ziņojošais kriptoaktīvu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ka ziņojošais kriptoaktīvu pakalpojumu sniedzējs ir atbildīgs par apliecinājumā ietvertās informācijas patiesuma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Ziņojošais kriptoaktīvu pakalpojumu sniedzējs šajā nodaļā noteikto pienācīgas pārbaudes procedūras pienākumu izpildē var paļauties uz trešo personu – ārpakalpojumu sniedzēju, pienācīgas pārbaudes procedūras gaitā iegūtajiem rezultātiem, taču par šā pienākuma izpildi atbildīgs ir ziņojošais kriptoaktīvu pakalpojumu 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vai individuālais kriptoaktīvu lietotājs ir kriptoaktīvu lietotājs, par kuru jāsniedz ziņojums, ziņojošais kriptoaktīvu pakalpojumu sniedzējs, nodibinot darījuma attiecības ar individuālo kriptoaktīvu lietotāju, saņem apliecinājumu, kas ļauj tam noteikt individuālā kriptoaktīvu lietotāja rezidences valsti nodokļu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DAC8 III. pielikuma III. iedaļas A. punkta 1. apapkšpunkts (grozītās direktīvas VI. pielikuma III. iedaļas A. punkta 1. apakšpunkts) paredz arī pienākumu apstiprināt "pašapliecinājuma pamatotību, pamatojoties uz Kriptoaktīvu pakalpojumu sniedzēja, kas sniedz ziņojumus, iegūto informāciju, citstarp dokumentāciju, kas savākta saskaņā ar Klienta pienācīgas pārbaudes procedūrām". Tādēļ lūdzam izvērtēt un nepieciešamības gadījumā atbilstoši papildināt noteikumu projektu ar attiecīgu tiesisko regulējumu vai skaidrot, kādēļ tas nav nepieciešams, noteikumu projekta anotācijā. Līdzīgi lūdzam izvērtēt un nepieciešamības gadījumā papildināt noteikumu projekta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pienākums jau ir aprakstīts MK noteikumu projekta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noteiktu, vai individuālais kriptoaktīvu lietotājs ir kriptoaktīvu lietotājs, par kuru jāsniedz ziņojums, ziņojošais kriptoaktīvu pakalpojumu sniedzējs, nodibinot darījuma attiecības ar individuālo kriptoaktīvu lietotāju, saņem apliecinājumu, kas ļauj tam noteikt individuālā kriptoaktīvu lietotāja rezidences valsti nodokļu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ziņojošais kriptoaktīvu pakalpojumu sniedzējs attiecībā uz individuālo kriptoaktīvu lietotāju ir konstatējis apstākļu izmaiņas, kā rezultātā uzzina vai tam ir pamats zināt, ka sākotnējais apliecinājums ir nepareizs vai nepatiess, ziņojošais kriptoaktīvu pakalpojumu sniedzējs nevar paļauties uz sākotnējo kriptoaktīvu lietotāja apliecinājumu un ir jāiegūst jauns apliecinājums vai pamatots paskaidrojums un attiecīgā gadījumā dokumentācija, kas pamato sākotnējā apliecinājuma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noslēgumā vārdu "pareizību" aizstāt ar vārdu "derīgumu", ievērojot, ka korespondējošajā direktīvas vienībā norādīts uz apliecinājuma 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iespēju noteikumu 10.punktā aizstāt vārdu “pareizību’ ar vārdu “derīgumu’, taču secinājuši, ka termins “pareizība” kā plašāks termins labāk palīdzēs sasniegt direktīvas mērķi – apmainīties ar patiesu, pareizu un korektu informāciju, jo nepatiesa informācija arī būs nederīga.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ziņojošais kriptoaktīvu pakalpojumu sniedzējs attiecībā uz individuālo kriptoaktīvu lietotāju ir konstatējis apstākļu izmaiņas, kā rezultātā uzzina vai tam ir pamats zināt, ka sākotnējais apliecinājums ir nepareizs vai nepatiess, ziņojošais kriptoaktīvu pakalpojumu sniedzējs nevar paļauties uz sākotnējo kriptoaktīvu lietotāja apliecinājumu un ir jāiegūst jauns apliecinājums vai pamatots paskaidrojums un attiecīgā gadījumā dokumentācija, kas pamato sākotnējā apliecinājuma pareizību.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vienība ir reģistrēta saskaņā ar Latvijas tiesību aktiem vai tai ir pienākums iesniegt nodokļu deklarācijas vai informatīvās deklarācijas Latvijā attiecībā uz vienības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Latvijas tiesību aktiem aizstāt ar atsauci uz normatīvajiem aktiem noteiktā jomā, ievērojot Ministru kabineta 2009. gada 3. februāra noteikumu Nr. 108 "Normatīvo aktu projektu sagatavošanas noteikumi" 133.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21.2.2.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vienība ir reģistrēta Latvijā vai tai ir pienākums iesniegt nodokļu deklarācijas vai informatīvās deklarācijas Latvijā attiecībā uz vienības ienākumiem;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vienības vai fiziskās personas pastāvīgā uzņēmējdarbības vieta ir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21.2.4. apakšpunktu, termina "'uzņēmējdarbības" vietā izmantojot terminu "komercdarbības” vai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21.2.4.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vienības vai fiziskās personas pastāvīgā saimnieciskās darbības vieta ir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Neatkarīgi no šo noteikumu 23., 24., 25., 26., 27. un 28. punktā noteiktā ziņojošajam kriptoaktīvu pakalpojumu sniedzējam, kurš atbilst šo noteikumu 21.2. apakšpunktā minētajiem kritērijiem, nav pienākums sniegt šo noteikumu 3.2. apakšnodaļā minēto informāciju par lietotāju, par kuru jāsniedz ziņojums, vai kontrolējošo personu, attiecībā uz kuru ziņojošais kriptoaktīvu pakalpojumu sniedzējs uzsāk un veic šādas informācijas ziņošanu ārpus Eiropas Savienības esošā valstī, uz kuru attiecas spēkā esošs atbilstīgs kompetento iestāžu nolīgums ar šāda lietotāja, par kuru jāsniedz ziņojums, vai tā kontrolējošās personas rezidences valsts dalībvalsti.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vārdus "uzsāk un veic" aizstāt ar vārdu "pabeidz" atbilstoši DAC8 III. pielikuma II. iedaļas E. punktā (grozītās direktīvas VI. pielikuma II. iedaļas E. punktā) noteiktajam.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Neatkarīgi no šo noteikumu 23., 24., 25., 26., 27. un 28. punktā noteiktā ziņojošajam kriptoaktīvu pakalpojumu sniedzējam, kurš atbilst šo noteikumu 21.2. apakšpunktā minētajiem kritērijiem, nav pienākums sniegt šo noteikumu 3.2. apakšnodaļā minēto informāciju par lietotāju, par kuru jāsniedz ziņojums, vai kontrolējošo personu, attiecībā uz kuru ziņojošais kriptoaktīvu pakalpojumu sniedzējs veic šādas informācijas ziņošanu ārpus Eiropas Savienības esošā valstī, uz kuru attiecas spēkā esošs atbilstīgs kompetento iestāžu nolīgums ar šāda lietotāja, par kuru jāsniedz ziņojums, vai tā kontrolējošās personas rezidences valsts dalībvalsti.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Par katru attiecīgo kalendāro gadu vai citu atbilstīgu ziņošanas periodu ziņojošais kriptoaktīvu pakalpojumu sniedzējs sniedz šādu informāciju par saviem kriptoaktīvu lietotājiem, par kuriem jāsniedz ziņojums, un tādiem kriptoaktīvu lietotājiem, kuru kontrolējošās personas ir personas, par kurām jāsniedz ziņojumi: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nepieciešamību norādei "vai citu atbilstīgu ziņošanas periodu" (arī cituviet noteikumu projektā), proti, vai konkrētajā gadījumā nav jānorāda vienīgi uz nacionālo ziņošanas periodu, ko noteikusi konkrētā dalībvalsts. Nepieciešamības gadījumā lūdzam minēto norādi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sniegto priekšlikumu. Informējam, ka kalendārā gada laikā var mainīties kriptoaktīvu lietotāja statuss,  attiecīgi ziņošanas periods var nesakrist (būt īsāks par kalendāro gadu), tāpēc ir svarīgi saglabāt norādi “vai citu atbilstīgu ziņošanas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Par katru attiecīgo kalendāro gadu vai citu atbilstīgu ziņošanas periodu ziņojošais kriptoaktīvu pakalpojumu sniedzējs sniedz šādu informāciju par saviem kriptoaktīvu lietotājiem, par kuriem jāsniedz ziņojums, un tādiem kriptoaktīvu lietotājiem, kuru kontrolējošās personas ir personas, par kurām jāsniedz ziņojumi: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ziņojošā kriptoaktīvu pakalpojumu sniedzēja – vārds un uzvārds (fiziskai personai) vai nosaukums (vienībai), adrese, nodokļu maksātāja identifikācijas numurs, norādot katru numuru un tā piešķiršanas valsti, un Valsts ieņēmumu dienesta saskaņā ar šo noteikumu 47. punktu piešķirtais individuālais identifikācijas numurs un globālais juridiskās personas identifikators;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izdarītās atsauces, jo individuālo identifikācijas numuru piešķir saskaņā ar šo noteikumu 48., nevis 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30.1.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ziņojošā kriptoaktīvu pakalpojumu sniedzēja – vārds un uzvārds (fiziskai personai) vai nosaukums (vienībai), adrese, nodokļu maksātāja identifikācijas numurs, norādot katru numuru un tā piešķiršanas valsti, un Valsts ieņēmumu dienesta saskaņā ar šo noteikumu 48. punktu piešķirtais individuālais identifikācijas numurs un globālais juridiskās personas identifikators;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Ziņojošais kriptoaktīvu pakalpojumu sniedzējs divu mēnešu laikā pēc šo noteikumu 37. punktā minētās informācijas saņemšanas no Valsts ieņēmumu dienesta elektroniski iesniedz informācijas precizējumu Valsts ieņēmumu dienesta elektroniskās deklarēšanas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pamatojumu atšķirīgam termiņam informācijas precizējumu iesniegšanai Valsts ieņēmumu dienestam atkarībā no tā, kuras valsts kompetentā iestāde paziņo, ka ziņojošā kriptoaktīvu pakalpojumu sniedzēja sniegtā informācija ir kļūdaina, nepilnīga vai citādi neatbilst ziņošanas prasībām. Nepieciešamības gadījumā aicinām vienveidot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Ziņojošais kriptoaktīvu pakalpojumu sniedzējs 20 darbdienu laikā pēc šo noteikumu 37. punktā minētās informācijas saņemšanas no Valsts ieņēmumu dienesta elektroniski iesniedz informācijas precizējumu Valsts ieņēmumu dienesta elektroniskās deklarēšanas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kriptoaktīvu operators vairs neatbilst šo noteikumu 2.6.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apakšnodaļā ietvertās atsauces uz šo noteikumu 2.6. apakšpunktu, jo kriptoaktīvu operatoram jāatbilst šo noteikumu 2.4. apakšpunktā ietvertajiem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50.3.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kriptoaktīvu operators vairs neatbilst šo noteikumu 2.4. apakšpunktā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noteikta kriptoaktīvu lietotāju, kuri ir fiziskas personas, datu apstrāde, lūdzam aizpildīt anotācijas 8.1.13. apakšpunktu atbilstoši Valsts kancelejas izstrādātajām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25-TA-1390</w:t>
    </w:r>
    <w:r>
      <w:br/>
    </w:r>
    <w:r w:rsidR="00000000" w:rsidRPr="00000000" w:rsidDel="00000000">
      <w:rPr>
        <w:rtl w:val="0"/>
      </w:rPr>
      <w:t xml:space="preserve">04.12.2025. 12.38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25-TA-1390</w:t>
    </w:r>
    <w:r>
      <w:br/>
    </w:r>
    <w:r w:rsidR="00000000" w:rsidRPr="00000000" w:rsidDel="00000000">
      <w:rPr>
        <w:rtl w:val="0"/>
      </w:rPr>
      <w:t xml:space="preserve">04.12.2025. 12.38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Izziņa_25-TA-1390.docx</dc:title>
</cp:coreProperties>
</file>

<file path=docProps/custom.xml><?xml version="1.0" encoding="utf-8"?>
<Properties xmlns="http://schemas.openxmlformats.org/officeDocument/2006/custom-properties" xmlns:vt="http://schemas.openxmlformats.org/officeDocument/2006/docPropsVTypes"/>
</file>