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F84" w14:textId="6BA72363" w:rsidR="006068C9" w:rsidRPr="008A0212" w:rsidRDefault="00697A39" w:rsidP="006068C9">
      <w:pPr>
        <w:pStyle w:val="naisnod"/>
        <w:spacing w:before="0" w:after="0"/>
        <w:rPr>
          <w:color w:val="000000" w:themeColor="text1"/>
        </w:rPr>
      </w:pPr>
      <w:bookmarkStart w:id="0" w:name="OLE_LINK12"/>
      <w:bookmarkStart w:id="1" w:name="OLE_LINK11"/>
      <w:r w:rsidRPr="008A0212">
        <w:rPr>
          <w:color w:val="000000" w:themeColor="text1"/>
        </w:rPr>
        <w:t>Izziņa par atzinumos sniegta</w:t>
      </w:r>
      <w:r w:rsidR="00D6588E" w:rsidRPr="008A0212">
        <w:rPr>
          <w:color w:val="000000" w:themeColor="text1"/>
        </w:rPr>
        <w:t xml:space="preserve">jiem iebildumiem par Ministru kabineta rīkojuma </w:t>
      </w:r>
      <w:r w:rsidRPr="008A0212">
        <w:rPr>
          <w:color w:val="000000" w:themeColor="text1"/>
        </w:rPr>
        <w:t>"</w:t>
      </w:r>
      <w:r w:rsidR="008A0212" w:rsidRPr="008A0212">
        <w:rPr>
          <w:color w:val="000000" w:themeColor="text1"/>
        </w:rPr>
        <w:t xml:space="preserve">Par valsts </w:t>
      </w:r>
      <w:r w:rsidR="000E4DE2">
        <w:rPr>
          <w:color w:val="000000" w:themeColor="text1"/>
        </w:rPr>
        <w:t xml:space="preserve">meža zemes </w:t>
      </w:r>
      <w:r w:rsidR="00DE7D8B">
        <w:rPr>
          <w:color w:val="000000" w:themeColor="text1"/>
        </w:rPr>
        <w:t xml:space="preserve">nodošanu </w:t>
      </w:r>
      <w:r w:rsidR="008F6DBF">
        <w:rPr>
          <w:color w:val="000000" w:themeColor="text1"/>
        </w:rPr>
        <w:t>Ādažu</w:t>
      </w:r>
      <w:r w:rsidR="000E4DE2">
        <w:rPr>
          <w:color w:val="000000" w:themeColor="text1"/>
        </w:rPr>
        <w:t xml:space="preserve"> </w:t>
      </w:r>
      <w:r w:rsidR="00B838CA" w:rsidRPr="008A0212">
        <w:rPr>
          <w:color w:val="000000" w:themeColor="text1"/>
        </w:rPr>
        <w:t>novada pašvaldības īpašumā</w:t>
      </w:r>
      <w:r w:rsidRPr="008A0212">
        <w:rPr>
          <w:color w:val="000000" w:themeColor="text1"/>
        </w:rPr>
        <w:t xml:space="preserve">" </w:t>
      </w:r>
      <w:r w:rsidR="00D6588E" w:rsidRPr="008A0212">
        <w:rPr>
          <w:bCs w:val="0"/>
          <w:color w:val="000000" w:themeColor="text1"/>
        </w:rPr>
        <w:t>projektu</w:t>
      </w:r>
    </w:p>
    <w:bookmarkEnd w:id="0"/>
    <w:bookmarkEnd w:id="1"/>
    <w:p w14:paraId="540F108E" w14:textId="77777777" w:rsidR="006068C9" w:rsidRPr="008A0212" w:rsidRDefault="006068C9" w:rsidP="006068C9">
      <w:pPr>
        <w:jc w:val="center"/>
        <w:rPr>
          <w:b/>
          <w:bCs/>
          <w:color w:val="000000" w:themeColor="text1"/>
        </w:rPr>
      </w:pPr>
    </w:p>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716A89D0" w:rsidR="00127F4C" w:rsidRPr="00A53C8A" w:rsidRDefault="008F6DBF" w:rsidP="00513CED">
                  <w:pPr>
                    <w:pStyle w:val="Paraststmeklis"/>
                    <w:spacing w:before="0" w:beforeAutospacing="0" w:after="0" w:afterAutospacing="0" w:line="276" w:lineRule="auto"/>
                    <w:rPr>
                      <w:lang w:eastAsia="en-US"/>
                    </w:rPr>
                  </w:pPr>
                  <w:r>
                    <w:rPr>
                      <w:lang w:eastAsia="en-US"/>
                    </w:rPr>
                    <w:t>30.07.</w:t>
                  </w:r>
                  <w:r w:rsidR="000C3913">
                    <w:rPr>
                      <w:lang w:eastAsia="en-US"/>
                    </w:rPr>
                    <w:t>–</w:t>
                  </w:r>
                  <w:r>
                    <w:rPr>
                      <w:lang w:eastAsia="en-US"/>
                    </w:rPr>
                    <w:t>05.08</w:t>
                  </w:r>
                  <w:r w:rsidR="00F560F1">
                    <w:rPr>
                      <w:lang w:eastAsia="en-US"/>
                    </w:rPr>
                    <w:t>.2021.</w:t>
                  </w:r>
                  <w:r w:rsidR="00D2104F">
                    <w:rPr>
                      <w:lang w:eastAsia="en-US"/>
                    </w:rPr>
                    <w:t>, 09.08.</w:t>
                  </w:r>
                  <w:r w:rsidR="000C3913">
                    <w:rPr>
                      <w:lang w:eastAsia="en-US"/>
                    </w:rPr>
                    <w:t>–</w:t>
                  </w:r>
                  <w:r w:rsidR="00D56BE2">
                    <w:rPr>
                      <w:lang w:eastAsia="en-US"/>
                    </w:rPr>
                    <w:t>13.08.2021.</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77777777"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Tieslietu ministrija, Finanšu ministrija, Vides aizsardzības un reģionālās attīstības ministrija</w:t>
                  </w:r>
                  <w:r w:rsidR="00F559BD" w:rsidRPr="008A0212">
                    <w:rPr>
                      <w:color w:val="000000" w:themeColor="text1"/>
                      <w:lang w:eastAsia="en-US"/>
                    </w:rPr>
                    <w:t xml:space="preserve">, Latvijas Pašvaldību </w:t>
                  </w:r>
                  <w:r w:rsidR="008A0212" w:rsidRPr="008A0212">
                    <w:rPr>
                      <w:color w:val="000000" w:themeColor="text1"/>
                      <w:lang w:eastAsia="en-US"/>
                    </w:rPr>
                    <w:t>s</w:t>
                  </w:r>
                  <w:r w:rsidRPr="008A0212">
                    <w:rPr>
                      <w:color w:val="000000" w:themeColor="text1"/>
                      <w:lang w:eastAsia="en-US"/>
                    </w:rPr>
                    <w:t>avienība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44D3D0AA" w:rsidR="006068C9" w:rsidRPr="008A0212" w:rsidRDefault="00BE578B" w:rsidP="008A0212">
                  <w:pPr>
                    <w:pStyle w:val="naiskr"/>
                    <w:spacing w:before="0" w:after="0" w:line="276" w:lineRule="auto"/>
                    <w:ind w:right="500"/>
                    <w:jc w:val="both"/>
                    <w:rPr>
                      <w:color w:val="000000" w:themeColor="text1"/>
                      <w:lang w:eastAsia="en-US"/>
                    </w:rPr>
                  </w:pPr>
                  <w:r>
                    <w:rPr>
                      <w:color w:val="000000" w:themeColor="text1"/>
                      <w:lang w:eastAsia="en-US"/>
                    </w:rPr>
                    <w:t>Finanšu</w:t>
                  </w:r>
                  <w:r w:rsidR="00DE7D8B">
                    <w:rPr>
                      <w:color w:val="000000" w:themeColor="text1"/>
                      <w:lang w:eastAsia="en-US"/>
                    </w:rPr>
                    <w:t xml:space="preserve"> ministrija</w:t>
                  </w:r>
                  <w:r w:rsidR="00C90A02">
                    <w:rPr>
                      <w:color w:val="000000" w:themeColor="text1"/>
                      <w:lang w:eastAsia="en-US"/>
                    </w:rPr>
                    <w:t>s</w:t>
                  </w:r>
                  <w:r w:rsidR="00CC0F17">
                    <w:rPr>
                      <w:color w:val="000000" w:themeColor="text1"/>
                      <w:lang w:eastAsia="en-US"/>
                    </w:rPr>
                    <w:t xml:space="preserve"> </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77777777" w:rsidR="006068C9" w:rsidRPr="008A0212" w:rsidRDefault="00697A39" w:rsidP="006C155F">
            <w:pPr>
              <w:pStyle w:val="naiskr"/>
              <w:spacing w:before="0" w:after="0" w:line="276" w:lineRule="auto"/>
              <w:ind w:right="500" w:firstLine="720"/>
              <w:rPr>
                <w:color w:val="000000" w:themeColor="text1"/>
                <w:lang w:eastAsia="en-US"/>
              </w:rPr>
            </w:pPr>
            <w:r w:rsidRPr="008A0212">
              <w:rPr>
                <w:color w:val="000000" w:themeColor="text1"/>
                <w:lang w:eastAsia="en-US"/>
              </w:rPr>
              <w:t>  </w:t>
            </w:r>
          </w:p>
        </w:tc>
      </w:tr>
    </w:tbl>
    <w:p w14:paraId="26C8E21E" w14:textId="77777777" w:rsidR="003E5005" w:rsidRPr="008A0212" w:rsidRDefault="003E5005" w:rsidP="006068C9">
      <w:pPr>
        <w:pStyle w:val="naisnod"/>
        <w:spacing w:before="0" w:after="0"/>
        <w:ind w:left="57" w:right="57"/>
        <w:contextualSpacing/>
        <w:mirrorIndents/>
        <w:rPr>
          <w:color w:val="000000" w:themeColor="text1"/>
        </w:rPr>
      </w:pPr>
    </w:p>
    <w:p w14:paraId="03976EC5" w14:textId="77777777" w:rsidR="003E5005" w:rsidRPr="008A0212" w:rsidRDefault="003E5005" w:rsidP="006068C9">
      <w:pPr>
        <w:pStyle w:val="naisnod"/>
        <w:spacing w:before="0" w:after="0"/>
        <w:ind w:left="57" w:right="57"/>
        <w:contextualSpacing/>
        <w:mirrorIndents/>
        <w:rPr>
          <w:color w:val="000000" w:themeColor="text1"/>
        </w:rPr>
      </w:pPr>
    </w:p>
    <w:p w14:paraId="6381352F" w14:textId="77777777" w:rsidR="00E20C7D" w:rsidRPr="008A0212" w:rsidRDefault="00697A39">
      <w:pPr>
        <w:spacing w:after="160" w:line="259" w:lineRule="auto"/>
        <w:rPr>
          <w:b/>
          <w:bCs/>
          <w:color w:val="000000" w:themeColor="text1"/>
        </w:rPr>
      </w:pPr>
      <w:r w:rsidRPr="008A0212">
        <w:rPr>
          <w:color w:val="000000" w:themeColor="text1"/>
        </w:rPr>
        <w:br w:type="page"/>
      </w:r>
    </w:p>
    <w:p w14:paraId="6EE24010" w14:textId="77777777" w:rsidR="006068C9" w:rsidRPr="008A0212"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lastRenderedPageBreak/>
        <w:t>Jautājumi, par kuriem saskaņošanā vienošanās ir panākta</w:t>
      </w:r>
    </w:p>
    <w:tbl>
      <w:tblPr>
        <w:tblW w:w="508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11"/>
        <w:gridCol w:w="6"/>
        <w:gridCol w:w="2325"/>
        <w:gridCol w:w="3890"/>
        <w:gridCol w:w="3162"/>
        <w:gridCol w:w="4213"/>
        <w:gridCol w:w="9"/>
      </w:tblGrid>
      <w:tr w:rsidR="00A87F55" w:rsidRPr="008A0212" w14:paraId="3E7FF993" w14:textId="77777777" w:rsidTr="00E01AD3">
        <w:trPr>
          <w:gridAfter w:val="1"/>
          <w:wAfter w:w="3" w:type="pct"/>
        </w:trPr>
        <w:tc>
          <w:tcPr>
            <w:tcW w:w="314"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803"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340"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089"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Atbildīgās ministrijas norāde par to, ka iebildums ir ņemts vērā, vai informācija par saskaņošanā panākto alternatīvo risinājumu</w:t>
            </w:r>
          </w:p>
        </w:tc>
        <w:tc>
          <w:tcPr>
            <w:tcW w:w="1451"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E01AD3">
        <w:trPr>
          <w:gridAfter w:val="1"/>
          <w:wAfter w:w="3" w:type="pct"/>
        </w:trPr>
        <w:tc>
          <w:tcPr>
            <w:tcW w:w="314"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t>1</w:t>
            </w:r>
          </w:p>
        </w:tc>
        <w:tc>
          <w:tcPr>
            <w:tcW w:w="803"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340"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089"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1451"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E01AD3">
        <w:tc>
          <w:tcPr>
            <w:tcW w:w="5000" w:type="pct"/>
            <w:gridSpan w:val="7"/>
            <w:tcBorders>
              <w:top w:val="single" w:sz="6" w:space="0" w:color="000000"/>
              <w:left w:val="single" w:sz="6" w:space="0" w:color="000000"/>
              <w:bottom w:val="single" w:sz="6" w:space="0" w:color="000000"/>
              <w:right w:val="single" w:sz="4" w:space="0" w:color="auto"/>
            </w:tcBorders>
          </w:tcPr>
          <w:p w14:paraId="304E921A" w14:textId="469F2E39" w:rsidR="00D16746" w:rsidRPr="00914E46" w:rsidRDefault="00BE578B" w:rsidP="00914E46">
            <w:pPr>
              <w:jc w:val="center"/>
              <w:rPr>
                <w:b/>
                <w:color w:val="000000" w:themeColor="text1"/>
              </w:rPr>
            </w:pPr>
            <w:r>
              <w:rPr>
                <w:b/>
                <w:color w:val="000000" w:themeColor="text1"/>
              </w:rPr>
              <w:t>Finanšu</w:t>
            </w:r>
            <w:r w:rsidR="00DE7D8B">
              <w:rPr>
                <w:b/>
                <w:color w:val="000000" w:themeColor="text1"/>
              </w:rPr>
              <w:t xml:space="preserve"> min</w:t>
            </w:r>
            <w:r w:rsidR="00697A39" w:rsidRPr="00914E46">
              <w:rPr>
                <w:b/>
                <w:color w:val="000000" w:themeColor="text1"/>
              </w:rPr>
              <w:t>istrija</w:t>
            </w:r>
          </w:p>
        </w:tc>
      </w:tr>
      <w:tr w:rsidR="00FE09FF" w:rsidRPr="008A0212" w14:paraId="6D4658A6" w14:textId="77777777" w:rsidTr="00376F40">
        <w:trPr>
          <w:gridAfter w:val="1"/>
          <w:wAfter w:w="3" w:type="pct"/>
        </w:trPr>
        <w:tc>
          <w:tcPr>
            <w:tcW w:w="316"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801" w:type="pct"/>
            <w:tcBorders>
              <w:top w:val="single" w:sz="6" w:space="0" w:color="000000"/>
              <w:left w:val="single" w:sz="4" w:space="0" w:color="auto"/>
              <w:bottom w:val="single" w:sz="6" w:space="0" w:color="000000"/>
              <w:right w:val="single" w:sz="4" w:space="0" w:color="auto"/>
            </w:tcBorders>
          </w:tcPr>
          <w:p w14:paraId="21FB6F6C" w14:textId="483D5750" w:rsidR="00FE09FF" w:rsidRPr="008A0212" w:rsidRDefault="00CC0F17" w:rsidP="00CC0F17">
            <w:pPr>
              <w:jc w:val="both"/>
              <w:rPr>
                <w:color w:val="000000" w:themeColor="text1"/>
              </w:rPr>
            </w:pPr>
            <w:r>
              <w:rPr>
                <w:color w:val="000000" w:themeColor="text1"/>
              </w:rPr>
              <w:t>Anotācijas I sadaļas 2. punkts</w:t>
            </w:r>
          </w:p>
        </w:tc>
        <w:tc>
          <w:tcPr>
            <w:tcW w:w="1340" w:type="pct"/>
            <w:tcBorders>
              <w:top w:val="single" w:sz="6" w:space="0" w:color="000000"/>
              <w:left w:val="single" w:sz="4" w:space="0" w:color="auto"/>
              <w:bottom w:val="single" w:sz="6" w:space="0" w:color="000000"/>
              <w:right w:val="single" w:sz="4" w:space="0" w:color="auto"/>
            </w:tcBorders>
          </w:tcPr>
          <w:p w14:paraId="0A893AA4" w14:textId="77777777" w:rsidR="008F6DBF" w:rsidRPr="008F6DBF" w:rsidRDefault="008F6DBF" w:rsidP="008F6DBF">
            <w:pPr>
              <w:shd w:val="clear" w:color="auto" w:fill="FFFFFF"/>
              <w:ind w:firstLine="720"/>
              <w:jc w:val="both"/>
              <w:rPr>
                <w:szCs w:val="20"/>
                <w:lang w:eastAsia="en-US"/>
              </w:rPr>
            </w:pPr>
            <w:r w:rsidRPr="008F6DBF">
              <w:rPr>
                <w:kern w:val="3"/>
                <w:lang w:eastAsia="en-US"/>
              </w:rPr>
              <w:t>Finanšu ministrija atbilstoši kompetencei ir izskatījusi Valsts sekretāru 2021.gada 1.jūlija sanāksmē (prot. Nr.25 28.§) izsludināto Zemkopības ministrijas izstrādāto Ministru kabineta rīkojuma projektu “</w:t>
            </w:r>
            <w:r w:rsidRPr="008F6DBF">
              <w:rPr>
                <w:i/>
                <w:iCs/>
                <w:lang w:eastAsia="en-US"/>
              </w:rPr>
              <w:t xml:space="preserve">Par valsts </w:t>
            </w:r>
            <w:r w:rsidRPr="008F6DBF">
              <w:rPr>
                <w:bCs/>
                <w:i/>
                <w:iCs/>
              </w:rPr>
              <w:t>meža zemes nodošanu Ādažu novada pašvaldības īpašumā</w:t>
            </w:r>
            <w:r w:rsidRPr="008F6DBF">
              <w:rPr>
                <w:bCs/>
              </w:rPr>
              <w:t>”</w:t>
            </w:r>
            <w:r w:rsidRPr="008F6DBF">
              <w:rPr>
                <w:kern w:val="3"/>
                <w:lang w:eastAsia="en-US"/>
              </w:rPr>
              <w:t xml:space="preserve"> (turpmāk- rīkojuma projekts),  tā sākotnējās ietekmes novērtējuma ziņojumu (anotāciju) un </w:t>
            </w:r>
            <w:r w:rsidRPr="008F6DBF">
              <w:rPr>
                <w:kern w:val="3"/>
                <w:shd w:val="clear" w:color="auto" w:fill="FFFFFF"/>
                <w:lang w:eastAsia="en-US"/>
              </w:rPr>
              <w:t>izsaka šādu iebildumu.</w:t>
            </w:r>
          </w:p>
          <w:p w14:paraId="3D547559" w14:textId="538429AF" w:rsidR="00FE09FF" w:rsidRPr="00236AB7" w:rsidRDefault="008F6DBF" w:rsidP="008F6DBF">
            <w:pPr>
              <w:shd w:val="clear" w:color="auto" w:fill="FFFFFF"/>
              <w:ind w:firstLine="720"/>
              <w:jc w:val="both"/>
            </w:pPr>
            <w:r w:rsidRPr="008F6DBF">
              <w:rPr>
                <w:shd w:val="clear" w:color="auto" w:fill="FFFFFF"/>
                <w:lang w:eastAsia="en-US"/>
              </w:rPr>
              <w:t xml:space="preserve">Lai nodrošinātu tiesisko skaidrību, ka ar rīkojuma projektu paredzētā nekustamā īpašuma (zemes vienības kadastra apzīmējums 8052 005 1449) 22,68 ha platībā (turpmāk – nekustamais īpašums) nodošana Ādažu novada pašvaldības īpašumā nekvalificējas kā komercdarbības atbalsts, lūdzam papildināt anotāciju ar skaidrojumu, vai nekustamais īpašums tiks izmantots saimnieciskās darbības veikšanai (attiecīgi, nododot </w:t>
            </w:r>
            <w:r w:rsidRPr="008F6DBF">
              <w:rPr>
                <w:shd w:val="clear" w:color="auto" w:fill="FFFFFF"/>
                <w:lang w:eastAsia="en-US"/>
              </w:rPr>
              <w:lastRenderedPageBreak/>
              <w:t xml:space="preserve">zemes gabalu pašvaldībai, komercdarbības atbalsta nosacījumi ir jāievēro), vai arī nekustamais īpašums būs publiski bez maksas pieejams ikvienam interesentam un netiks izmantots saimnieciskās darbības veikšanai (t.sk. iznomāšanai), un attiecīgi, nododot zemes gabalu pašvaldībai, komercdarbības atbalsta nosacījumi nav jāievēro. </w:t>
            </w:r>
          </w:p>
        </w:tc>
        <w:tc>
          <w:tcPr>
            <w:tcW w:w="1089" w:type="pct"/>
            <w:tcBorders>
              <w:top w:val="single" w:sz="6" w:space="0" w:color="000000"/>
              <w:left w:val="single" w:sz="4" w:space="0" w:color="auto"/>
              <w:bottom w:val="single" w:sz="6" w:space="0" w:color="000000"/>
              <w:right w:val="single" w:sz="4" w:space="0" w:color="auto"/>
            </w:tcBorders>
          </w:tcPr>
          <w:p w14:paraId="0E8359B0" w14:textId="63C66161" w:rsidR="00CC0F17" w:rsidRDefault="007554B1" w:rsidP="007554B1">
            <w:pPr>
              <w:jc w:val="both"/>
              <w:rPr>
                <w:b/>
                <w:color w:val="000000" w:themeColor="text1"/>
              </w:rPr>
            </w:pPr>
            <w:r w:rsidRPr="002F725C">
              <w:rPr>
                <w:b/>
                <w:color w:val="000000" w:themeColor="text1"/>
              </w:rPr>
              <w:lastRenderedPageBreak/>
              <w:t xml:space="preserve">Ņemts vērā. </w:t>
            </w:r>
          </w:p>
          <w:p w14:paraId="6D264AF7" w14:textId="308292CF" w:rsidR="00A27A2A" w:rsidRPr="00A27A2A" w:rsidRDefault="00CC0F17" w:rsidP="008F6DBF">
            <w:pPr>
              <w:jc w:val="both"/>
              <w:rPr>
                <w:bCs/>
                <w:color w:val="000000" w:themeColor="text1"/>
              </w:rPr>
            </w:pPr>
            <w:r>
              <w:rPr>
                <w:bCs/>
                <w:color w:val="000000" w:themeColor="text1"/>
              </w:rPr>
              <w:t xml:space="preserve">Anotācija papildināta ar informāciju par </w:t>
            </w:r>
            <w:r w:rsidR="008F6DBF">
              <w:rPr>
                <w:bCs/>
                <w:color w:val="000000" w:themeColor="text1"/>
              </w:rPr>
              <w:t>komercdarbības atbalsta nosacījumu nepiemērošanu.</w:t>
            </w:r>
          </w:p>
        </w:tc>
        <w:tc>
          <w:tcPr>
            <w:tcW w:w="1451" w:type="pct"/>
            <w:tcBorders>
              <w:top w:val="single" w:sz="6" w:space="0" w:color="000000"/>
              <w:left w:val="single" w:sz="4" w:space="0" w:color="auto"/>
              <w:bottom w:val="single" w:sz="6" w:space="0" w:color="000000"/>
              <w:right w:val="single" w:sz="4" w:space="0" w:color="auto"/>
            </w:tcBorders>
          </w:tcPr>
          <w:p w14:paraId="2D5C006A" w14:textId="6FB0AB92" w:rsidR="00BA0E9A" w:rsidRDefault="00B46B0D" w:rsidP="007554B1">
            <w:pPr>
              <w:jc w:val="both"/>
              <w:rPr>
                <w:color w:val="000000" w:themeColor="text1"/>
              </w:rPr>
            </w:pPr>
            <w:r>
              <w:rPr>
                <w:color w:val="000000" w:themeColor="text1"/>
              </w:rPr>
              <w:t>Skatīt anotācijas I sadaļas 2.</w:t>
            </w:r>
            <w:r w:rsidR="009F1F0A">
              <w:rPr>
                <w:color w:val="000000" w:themeColor="text1"/>
              </w:rPr>
              <w:t> </w:t>
            </w:r>
            <w:r>
              <w:rPr>
                <w:color w:val="000000" w:themeColor="text1"/>
              </w:rPr>
              <w:t>punktu (</w:t>
            </w:r>
            <w:r w:rsidR="008F6DBF">
              <w:rPr>
                <w:color w:val="000000" w:themeColor="text1"/>
              </w:rPr>
              <w:t>4</w:t>
            </w:r>
            <w:r w:rsidR="00533944">
              <w:rPr>
                <w:color w:val="000000" w:themeColor="text1"/>
              </w:rPr>
              <w:t>.</w:t>
            </w:r>
            <w:r w:rsidR="009F1F0A">
              <w:rPr>
                <w:color w:val="000000" w:themeColor="text1"/>
              </w:rPr>
              <w:t> </w:t>
            </w:r>
            <w:r>
              <w:rPr>
                <w:color w:val="000000" w:themeColor="text1"/>
              </w:rPr>
              <w:t>lpp.)</w:t>
            </w:r>
            <w:r w:rsidR="003C0BAB">
              <w:rPr>
                <w:color w:val="000000" w:themeColor="text1"/>
              </w:rPr>
              <w:t>, kas papildināts</w:t>
            </w:r>
            <w:r w:rsidR="000C3913">
              <w:rPr>
                <w:color w:val="000000" w:themeColor="text1"/>
              </w:rPr>
              <w:t>, ievērojot</w:t>
            </w:r>
            <w:r w:rsidR="00EF7DDE">
              <w:rPr>
                <w:color w:val="000000" w:themeColor="text1"/>
              </w:rPr>
              <w:t xml:space="preserve"> Finanšu ministrijas 06.08.2021. iebildum</w:t>
            </w:r>
            <w:r w:rsidR="000C3913">
              <w:rPr>
                <w:color w:val="000000" w:themeColor="text1"/>
              </w:rPr>
              <w:t>u</w:t>
            </w:r>
            <w:r w:rsidR="00EF7DDE">
              <w:rPr>
                <w:color w:val="000000" w:themeColor="text1"/>
              </w:rPr>
              <w:t>.</w:t>
            </w:r>
          </w:p>
          <w:p w14:paraId="02FADEEA" w14:textId="08B5E199" w:rsidR="00533944" w:rsidRPr="00C51F1B" w:rsidRDefault="00533944" w:rsidP="008F6DBF">
            <w:pPr>
              <w:pStyle w:val="Pamatteksts"/>
              <w:spacing w:after="0"/>
              <w:ind w:left="54" w:right="57" w:firstLine="567"/>
              <w:jc w:val="both"/>
              <w:rPr>
                <w:color w:val="000000" w:themeColor="text1"/>
              </w:rPr>
            </w:pPr>
          </w:p>
        </w:tc>
      </w:tr>
      <w:tr w:rsidR="00D56BE2" w:rsidRPr="008A0212" w14:paraId="525ABFDB" w14:textId="77777777" w:rsidTr="00D56BE2">
        <w:trPr>
          <w:gridAfter w:val="1"/>
          <w:wAfter w:w="3" w:type="pct"/>
        </w:trPr>
        <w:tc>
          <w:tcPr>
            <w:tcW w:w="4997" w:type="pct"/>
            <w:gridSpan w:val="6"/>
            <w:tcBorders>
              <w:top w:val="single" w:sz="6" w:space="0" w:color="000000"/>
              <w:left w:val="single" w:sz="6" w:space="0" w:color="000000"/>
              <w:bottom w:val="single" w:sz="6" w:space="0" w:color="000000"/>
              <w:right w:val="single" w:sz="4" w:space="0" w:color="auto"/>
            </w:tcBorders>
          </w:tcPr>
          <w:p w14:paraId="376C5738" w14:textId="67B2F47A" w:rsidR="00EF7DDE" w:rsidRDefault="00D56BE2">
            <w:pPr>
              <w:jc w:val="center"/>
              <w:rPr>
                <w:color w:val="000000" w:themeColor="text1"/>
              </w:rPr>
            </w:pPr>
            <w:r>
              <w:rPr>
                <w:b/>
                <w:color w:val="000000" w:themeColor="text1"/>
              </w:rPr>
              <w:t xml:space="preserve">Pēc saskaņošanas saņemtais </w:t>
            </w:r>
            <w:r w:rsidR="00EF7DDE">
              <w:rPr>
                <w:b/>
                <w:color w:val="000000" w:themeColor="text1"/>
              </w:rPr>
              <w:t xml:space="preserve">Finanšu ministrijas 06.08.2021. </w:t>
            </w:r>
            <w:r>
              <w:rPr>
                <w:b/>
                <w:color w:val="000000" w:themeColor="text1"/>
              </w:rPr>
              <w:t>iebildums par precizēto Ministru kabineta rīkojuma projektu.</w:t>
            </w:r>
          </w:p>
        </w:tc>
      </w:tr>
      <w:tr w:rsidR="00D56BE2" w:rsidRPr="008A0212" w14:paraId="7AB879B3" w14:textId="77777777" w:rsidTr="00376F40">
        <w:trPr>
          <w:gridAfter w:val="1"/>
          <w:wAfter w:w="3" w:type="pct"/>
        </w:trPr>
        <w:tc>
          <w:tcPr>
            <w:tcW w:w="316" w:type="pct"/>
            <w:gridSpan w:val="2"/>
            <w:tcBorders>
              <w:top w:val="single" w:sz="6" w:space="0" w:color="000000"/>
              <w:left w:val="single" w:sz="6" w:space="0" w:color="000000"/>
              <w:bottom w:val="single" w:sz="6" w:space="0" w:color="000000"/>
              <w:right w:val="single" w:sz="4" w:space="0" w:color="auto"/>
            </w:tcBorders>
          </w:tcPr>
          <w:p w14:paraId="40C073B9" w14:textId="77777777" w:rsidR="00D56BE2" w:rsidRPr="000E4DE2" w:rsidRDefault="00D56BE2" w:rsidP="00D56BE2">
            <w:pPr>
              <w:pStyle w:val="Sarakstarindkopa"/>
              <w:numPr>
                <w:ilvl w:val="0"/>
                <w:numId w:val="27"/>
              </w:numPr>
              <w:jc w:val="both"/>
              <w:rPr>
                <w:color w:val="000000" w:themeColor="text1"/>
              </w:rPr>
            </w:pPr>
          </w:p>
        </w:tc>
        <w:tc>
          <w:tcPr>
            <w:tcW w:w="801" w:type="pct"/>
            <w:tcBorders>
              <w:top w:val="single" w:sz="6" w:space="0" w:color="000000"/>
              <w:left w:val="single" w:sz="4" w:space="0" w:color="auto"/>
              <w:bottom w:val="single" w:sz="6" w:space="0" w:color="000000"/>
              <w:right w:val="single" w:sz="4" w:space="0" w:color="auto"/>
            </w:tcBorders>
          </w:tcPr>
          <w:p w14:paraId="322456D3" w14:textId="49A09A5C" w:rsidR="00D56BE2" w:rsidRDefault="00D56BE2" w:rsidP="00D56BE2">
            <w:pPr>
              <w:jc w:val="both"/>
              <w:rPr>
                <w:color w:val="000000" w:themeColor="text1"/>
              </w:rPr>
            </w:pPr>
            <w:r>
              <w:rPr>
                <w:color w:val="000000" w:themeColor="text1"/>
              </w:rPr>
              <w:t>Anotācijas I sadaļas 2. punkts.</w:t>
            </w:r>
          </w:p>
        </w:tc>
        <w:tc>
          <w:tcPr>
            <w:tcW w:w="1340" w:type="pct"/>
            <w:tcBorders>
              <w:top w:val="single" w:sz="6" w:space="0" w:color="000000"/>
              <w:left w:val="single" w:sz="4" w:space="0" w:color="auto"/>
              <w:bottom w:val="single" w:sz="6" w:space="0" w:color="000000"/>
              <w:right w:val="single" w:sz="4" w:space="0" w:color="auto"/>
            </w:tcBorders>
          </w:tcPr>
          <w:p w14:paraId="3723B598" w14:textId="5726DB3F" w:rsidR="00D56BE2" w:rsidRPr="008F6DBF" w:rsidRDefault="003C0BAB" w:rsidP="003C0BAB">
            <w:pPr>
              <w:shd w:val="clear" w:color="auto" w:fill="FFFFFF"/>
              <w:ind w:firstLine="720"/>
              <w:jc w:val="both"/>
              <w:rPr>
                <w:kern w:val="3"/>
                <w:lang w:eastAsia="en-US"/>
              </w:rPr>
            </w:pPr>
            <w:r w:rsidRPr="003C0BAB">
              <w:rPr>
                <w:rFonts w:eastAsiaTheme="minorHAnsi"/>
                <w:color w:val="000000"/>
                <w:lang w:eastAsia="en-US"/>
              </w:rPr>
              <w:t>Ņemot vērā, ka Zemkopības ministrija anotācijas I sadaļas 2.punktā (4.lpp. trešajā rindkopā) ir jau iekļāvusi skaidrojumu, ka: “</w:t>
            </w:r>
            <w:r w:rsidRPr="003C0BAB">
              <w:rPr>
                <w:rFonts w:eastAsiaTheme="minorHAnsi"/>
                <w:i/>
                <w:iCs/>
                <w:color w:val="000000"/>
                <w:lang w:eastAsia="en-US"/>
              </w:rPr>
              <w:t xml:space="preserve">Nekustamo īpašumu un tajā radīto infrastruktūru varēs izmantot ikviena iedzīvotāja vajadzībām un tas būs publiski pieejams, un </w:t>
            </w:r>
            <w:r w:rsidRPr="003C0BAB">
              <w:rPr>
                <w:rFonts w:eastAsiaTheme="minorHAnsi"/>
                <w:i/>
                <w:iCs/>
                <w:color w:val="000000"/>
                <w:u w:val="single"/>
                <w:lang w:eastAsia="en-US"/>
              </w:rPr>
              <w:t>tiešā veidā</w:t>
            </w:r>
            <w:r w:rsidRPr="003C0BAB">
              <w:rPr>
                <w:rFonts w:eastAsiaTheme="minorHAnsi"/>
                <w:i/>
                <w:iCs/>
                <w:color w:val="000000"/>
                <w:lang w:eastAsia="en-US"/>
              </w:rPr>
              <w:t xml:space="preserve"> netiks izmantots saimnieciskās darbības veikšanai, līdz ar to komercdarbības atbalsta kontroles nosacījumi nav jāpiemēro</w:t>
            </w:r>
            <w:r w:rsidRPr="003C0BAB">
              <w:rPr>
                <w:rFonts w:eastAsiaTheme="minorHAnsi"/>
                <w:color w:val="000000"/>
                <w:lang w:eastAsia="en-US"/>
              </w:rPr>
              <w:t xml:space="preserve">.”, vēršam uzmanību, ka jēdziena “tiešā veidā” tvērums nav skaidrs un rada interpretācijas riskus, kā arī, no skaidrojuma nav iespējams gūt pārliecību, ka ar rīkojuma projektu paredzētā nekustamā īpašuma nodošana Ādažu novada pašvaldības īpašumā nekvalificējas kā komercdarbības atbalsts. Ievērojot minēto, lūdzam precizēt anotācijas I </w:t>
            </w:r>
            <w:r w:rsidRPr="003C0BAB">
              <w:rPr>
                <w:rFonts w:eastAsiaTheme="minorHAnsi"/>
                <w:color w:val="000000"/>
                <w:lang w:eastAsia="en-US"/>
              </w:rPr>
              <w:lastRenderedPageBreak/>
              <w:t>sadaļas 2.punktā (4.lpp. trešajā rindkopā) iekļauto skaidrojumu. Atkārtoti vēršam uzmanību, ka gadījumā, ja nekustamais īpašums tiks izmantots saimnieciskās darbības veikšanai, nododot zemes gabalu pašvaldībai, ir jāievēro komercdarbības atbalsta nosacījumi. Vienlaikus skaidrojam, ka gadījumā, ja plānots nekustamo īpašumu izmantot papildinošai saimnieciskai darbībai (š</w:t>
            </w:r>
            <w:r w:rsidRPr="003C0BAB">
              <w:rPr>
                <w:rFonts w:eastAsiaTheme="minorHAnsi"/>
                <w:color w:val="000000"/>
                <w:shd w:val="clear" w:color="auto" w:fill="FFFFFF"/>
                <w:lang w:eastAsia="en-US"/>
              </w:rPr>
              <w:t xml:space="preserve">ai darbībai ik gadu atvēlētā jauda nedrīkst pārsniegt 20 % no infrastruktūras kopējās gada jaudas, piemēram, laika un platības izteiksmē) </w:t>
            </w:r>
            <w:r w:rsidRPr="003C0BAB">
              <w:rPr>
                <w:rFonts w:eastAsiaTheme="minorHAnsi"/>
                <w:color w:val="000000"/>
                <w:lang w:eastAsia="en-US"/>
              </w:rPr>
              <w:t xml:space="preserve">ierobežotā apmērā, tas nemaina nekustamā īpašuma nesaimniecisko pamatmērķi, taču tādā gadījumā, tas ir anotācijā skaidri jāatrunā, paredzot arī veikt šīs papildinošas saimnieciskās darbības proporcijas uzraudzību. </w:t>
            </w:r>
          </w:p>
        </w:tc>
        <w:tc>
          <w:tcPr>
            <w:tcW w:w="1089" w:type="pct"/>
            <w:tcBorders>
              <w:top w:val="single" w:sz="6" w:space="0" w:color="000000"/>
              <w:left w:val="single" w:sz="4" w:space="0" w:color="auto"/>
              <w:bottom w:val="single" w:sz="6" w:space="0" w:color="000000"/>
              <w:right w:val="single" w:sz="4" w:space="0" w:color="auto"/>
            </w:tcBorders>
          </w:tcPr>
          <w:p w14:paraId="724A3E2E" w14:textId="77777777" w:rsidR="00D56BE2" w:rsidRDefault="003C0BAB" w:rsidP="00D56BE2">
            <w:pPr>
              <w:jc w:val="both"/>
              <w:rPr>
                <w:b/>
                <w:color w:val="000000" w:themeColor="text1"/>
              </w:rPr>
            </w:pPr>
            <w:r>
              <w:rPr>
                <w:b/>
                <w:color w:val="000000" w:themeColor="text1"/>
              </w:rPr>
              <w:lastRenderedPageBreak/>
              <w:t>Ņemts vērā.</w:t>
            </w:r>
          </w:p>
          <w:p w14:paraId="6FFA52FF" w14:textId="75DE89DA" w:rsidR="003C0BAB" w:rsidRPr="003C0BAB" w:rsidRDefault="003C0BAB" w:rsidP="00D56BE2">
            <w:pPr>
              <w:jc w:val="both"/>
              <w:rPr>
                <w:bCs/>
                <w:color w:val="000000" w:themeColor="text1"/>
              </w:rPr>
            </w:pPr>
            <w:r>
              <w:rPr>
                <w:bCs/>
                <w:color w:val="000000" w:themeColor="text1"/>
              </w:rPr>
              <w:t>Anotācija precizēta un papildināta ar informāciju par komercdarbības atbalsta kontroles nosacījumiem</w:t>
            </w:r>
            <w:r w:rsidR="00EF7DDE">
              <w:rPr>
                <w:bCs/>
                <w:color w:val="000000" w:themeColor="text1"/>
              </w:rPr>
              <w:t xml:space="preserve"> un to piemērošanu.</w:t>
            </w:r>
          </w:p>
        </w:tc>
        <w:tc>
          <w:tcPr>
            <w:tcW w:w="1451" w:type="pct"/>
            <w:tcBorders>
              <w:top w:val="single" w:sz="6" w:space="0" w:color="000000"/>
              <w:left w:val="single" w:sz="4" w:space="0" w:color="auto"/>
              <w:bottom w:val="single" w:sz="6" w:space="0" w:color="000000"/>
              <w:right w:val="single" w:sz="4" w:space="0" w:color="auto"/>
            </w:tcBorders>
          </w:tcPr>
          <w:p w14:paraId="199570DD" w14:textId="5759D0A6" w:rsidR="00D56BE2" w:rsidRDefault="003C0BAB" w:rsidP="00D56BE2">
            <w:pPr>
              <w:jc w:val="both"/>
              <w:rPr>
                <w:color w:val="000000" w:themeColor="text1"/>
              </w:rPr>
            </w:pPr>
            <w:r>
              <w:rPr>
                <w:color w:val="000000" w:themeColor="text1"/>
              </w:rPr>
              <w:t>Skatīt anotācijas I sadaļas 2. punktu (4.</w:t>
            </w:r>
            <w:r w:rsidR="000C3913">
              <w:rPr>
                <w:color w:val="000000" w:themeColor="text1"/>
              </w:rPr>
              <w:t> </w:t>
            </w:r>
            <w:r>
              <w:rPr>
                <w:color w:val="000000" w:themeColor="text1"/>
              </w:rPr>
              <w:t>lpp.), kas papildināts ar šādu informāciju.</w:t>
            </w:r>
          </w:p>
          <w:p w14:paraId="601032D0" w14:textId="26B650C3" w:rsidR="003C0BAB" w:rsidRPr="008A4DE4" w:rsidRDefault="003C0BAB" w:rsidP="003C0BAB">
            <w:pPr>
              <w:pStyle w:val="Pamatteksts"/>
              <w:spacing w:after="0"/>
              <w:ind w:left="57" w:right="57" w:firstLine="567"/>
              <w:jc w:val="both"/>
            </w:pPr>
            <w:r w:rsidRPr="008A4DE4">
              <w:t>Publiskas personas mantas atsavināšanas likuma 42.panta 2.</w:t>
            </w:r>
            <w:r w:rsidRPr="008A4DE4">
              <w:rPr>
                <w:vertAlign w:val="superscript"/>
              </w:rPr>
              <w:t>5</w:t>
            </w:r>
            <w:r w:rsidRPr="008A4DE4">
              <w:t xml:space="preserve"> daļ</w:t>
            </w:r>
            <w:r w:rsidR="000C3913">
              <w:t>ā</w:t>
            </w:r>
            <w:r w:rsidRPr="008A4DE4">
              <w:t xml:space="preserve"> no</w:t>
            </w:r>
            <w:r w:rsidR="000C3913">
              <w:t>teikts</w:t>
            </w:r>
            <w:r w:rsidRPr="008A4DE4">
              <w:t xml:space="preserve">, ka publiskas personas nekustamo īpašumu, kas nodots bez atlīdzības funkciju vai deleģēta pārvaldes uzdevuma veikšanai, ir tiesības izmantot papildinošu saimniecisku darbību veikšanai (t.sk. iznomāšanai) tikai tiktāl, ciktāl šī saimnieciskā darbība ir nepieciešama un saistīta ar funkcijas vai deleģēta pārvaldes uzdevuma veikšanu, kā arī ievērojot nosacījumus, kas izriet no Eiropas Savienības aktiem komercdarbības atbalsta kontroles jomā. </w:t>
            </w:r>
          </w:p>
          <w:p w14:paraId="687A3E3C" w14:textId="6A86A700" w:rsidR="003C0BAB" w:rsidRPr="008A4DE4" w:rsidRDefault="003C0BAB" w:rsidP="003C0BAB">
            <w:pPr>
              <w:pStyle w:val="Pamatteksts"/>
              <w:spacing w:after="0"/>
              <w:ind w:left="57" w:right="57" w:firstLine="567"/>
              <w:jc w:val="both"/>
            </w:pPr>
            <w:r w:rsidRPr="008A4DE4">
              <w:t xml:space="preserve">Pašvaldība lēmumā norādīja, ka nekustamais īpašums nepieciešams pašvaldības autonomās funkcijas </w:t>
            </w:r>
            <w:r w:rsidR="000C3913">
              <w:lastRenderedPageBreak/>
              <w:t>izpildei</w:t>
            </w:r>
            <w:r w:rsidRPr="008A4DE4">
              <w:t>, kas noteikta likuma “Par pašvaldībām” 15. panta pirmās daļas 2. punktā</w:t>
            </w:r>
            <w:r w:rsidR="000C3913">
              <w:t>, t.i.,</w:t>
            </w:r>
            <w:r w:rsidRPr="008A4DE4">
              <w:t xml:space="preserve"> gādāt par savas administratīvās teritorijas labiekārtošanu un sanitāro tīrību (parku, skvēru un zaļo zonu ierīkošanai un uzturēšanai). </w:t>
            </w:r>
            <w:r w:rsidR="000C3913">
              <w:t>Tādējādi</w:t>
            </w:r>
            <w:r w:rsidRPr="008A4DE4">
              <w:t xml:space="preserve">, pārņemot nekustamo īpašumu, pašvaldībai ir tiesības to izmantot papildinošu saimniecisku darbību </w:t>
            </w:r>
            <w:r w:rsidR="000C3913">
              <w:t>īsteno</w:t>
            </w:r>
            <w:r w:rsidRPr="008A4DE4">
              <w:t>šanai (t</w:t>
            </w:r>
            <w:r w:rsidR="000C3913">
              <w:t>ostarp</w:t>
            </w:r>
            <w:r w:rsidRPr="008A4DE4">
              <w:t xml:space="preserve"> iznomāšanai), bet papildinošās saimnieciskās darbības apjomam ir jāpaliek ierobežotam platības, laika vai finanšu izteiksmē (šai darbībai ik gadu atvēlētā jauda nedrīkst pārsniegt 20% no kopējās gada jaudas).</w:t>
            </w:r>
          </w:p>
          <w:p w14:paraId="714EE51D" w14:textId="4AC1A7E8" w:rsidR="003C0BAB" w:rsidRDefault="003C0BAB" w:rsidP="00EF7DDE">
            <w:pPr>
              <w:pStyle w:val="Pamatteksts"/>
              <w:spacing w:after="0"/>
              <w:ind w:left="54" w:right="57" w:firstLine="567"/>
              <w:jc w:val="both"/>
              <w:rPr>
                <w:color w:val="000000" w:themeColor="text1"/>
              </w:rPr>
            </w:pPr>
            <w:r w:rsidRPr="008A4DE4">
              <w:t>Nekustamo īpašumu un tajā radīto infrastruktūru varēs izmantot ikviena iedzīvotāja vajadzībām</w:t>
            </w:r>
            <w:r w:rsidR="000C3913">
              <w:t>,</w:t>
            </w:r>
            <w:r w:rsidRPr="008A4DE4">
              <w:t xml:space="preserve"> un tas būs publiski pieejams bez maksas</w:t>
            </w:r>
            <w:r w:rsidR="000C3913">
              <w:t>,</w:t>
            </w:r>
            <w:r w:rsidRPr="008A4DE4">
              <w:t xml:space="preserve"> tādēļ, pārņemot nekustamo īpašumu pašvaldības īpašumā, komercdarbības atbalsta kontroles nosacījumi nav jāpiemēro.</w:t>
            </w:r>
          </w:p>
        </w:tc>
      </w:tr>
    </w:tbl>
    <w:p w14:paraId="3CCDD65A" w14:textId="77777777" w:rsidR="006068C9" w:rsidRPr="008A0212" w:rsidRDefault="006068C9" w:rsidP="006068C9">
      <w:pPr>
        <w:outlineLvl w:val="0"/>
        <w:rPr>
          <w:color w:val="000000" w:themeColor="text1"/>
        </w:rPr>
      </w:pPr>
    </w:p>
    <w:tbl>
      <w:tblPr>
        <w:tblW w:w="14175" w:type="dxa"/>
        <w:tblLayout w:type="fixed"/>
        <w:tblLook w:val="00A0" w:firstRow="1" w:lastRow="0" w:firstColumn="1" w:lastColumn="0" w:noHBand="0" w:noVBand="0"/>
      </w:tblPr>
      <w:tblGrid>
        <w:gridCol w:w="4233"/>
        <w:gridCol w:w="9942"/>
      </w:tblGrid>
      <w:tr w:rsidR="00A87F55" w:rsidRPr="008A0212" w14:paraId="73595BA8" w14:textId="77777777" w:rsidTr="00E01AD3">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942"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01AD3">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942"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77777777" w:rsidR="002B30E2" w:rsidRPr="008A021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3B57ECD5" w14:textId="77777777" w:rsidR="00E90039" w:rsidRDefault="00697A39" w:rsidP="002B30E2">
      <w:pPr>
        <w:pStyle w:val="naisf"/>
        <w:spacing w:before="0" w:after="0"/>
        <w:ind w:left="2160" w:firstLine="720"/>
        <w:jc w:val="left"/>
        <w:rPr>
          <w:color w:val="000000" w:themeColor="text1"/>
        </w:rPr>
      </w:pPr>
      <w:r w:rsidRPr="008A0212">
        <w:rPr>
          <w:color w:val="000000" w:themeColor="text1"/>
        </w:rPr>
        <w:t xml:space="preserve">      </w:t>
      </w:r>
    </w:p>
    <w:p w14:paraId="31FB3420" w14:textId="77777777" w:rsidR="00E90039" w:rsidRDefault="00E90039" w:rsidP="002B30E2">
      <w:pPr>
        <w:pStyle w:val="naisf"/>
        <w:spacing w:before="0" w:after="0"/>
        <w:ind w:left="2160" w:firstLine="720"/>
        <w:jc w:val="left"/>
        <w:rPr>
          <w:color w:val="000000" w:themeColor="text1"/>
        </w:rPr>
      </w:pPr>
    </w:p>
    <w:p w14:paraId="0BB44DCA" w14:textId="77777777" w:rsidR="00E90039" w:rsidRDefault="00E90039" w:rsidP="002B30E2">
      <w:pPr>
        <w:pStyle w:val="naisf"/>
        <w:spacing w:before="0" w:after="0"/>
        <w:ind w:left="2160" w:firstLine="720"/>
        <w:jc w:val="left"/>
        <w:rPr>
          <w:color w:val="000000" w:themeColor="text1"/>
        </w:rPr>
      </w:pPr>
    </w:p>
    <w:p w14:paraId="1A05BB1D" w14:textId="0D0B75D6" w:rsidR="002B30E2" w:rsidRPr="008A0212" w:rsidRDefault="00697A39" w:rsidP="002B30E2">
      <w:pPr>
        <w:pStyle w:val="naisf"/>
        <w:spacing w:before="0" w:after="0"/>
        <w:ind w:left="2160" w:firstLine="720"/>
        <w:jc w:val="left"/>
        <w:rPr>
          <w:color w:val="000000" w:themeColor="text1"/>
        </w:rPr>
      </w:pPr>
      <w:r w:rsidRPr="008A0212">
        <w:rPr>
          <w:color w:val="000000" w:themeColor="text1"/>
        </w:rPr>
        <w:lastRenderedPageBreak/>
        <w:t xml:space="preserve">  </w:t>
      </w:r>
      <w:r w:rsidR="00862046">
        <w:rPr>
          <w:color w:val="000000" w:themeColor="text1"/>
        </w:rPr>
        <w:t>Inga Žagare</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4EFB2983" w:rsidR="002B30E2" w:rsidRPr="008A0212" w:rsidRDefault="00697A39" w:rsidP="00DE52DA">
            <w:pPr>
              <w:rPr>
                <w:color w:val="000000" w:themeColor="text1"/>
              </w:rPr>
            </w:pPr>
            <w:r w:rsidRPr="008A0212">
              <w:rPr>
                <w:color w:val="000000" w:themeColor="text1"/>
              </w:rPr>
              <w:t xml:space="preserve">Meža departamenta Zemes pārvaldības un meliorācijas nodaļas </w:t>
            </w:r>
            <w:r w:rsidR="00DE52DA" w:rsidRPr="008A0212">
              <w:rPr>
                <w:color w:val="000000" w:themeColor="text1"/>
              </w:rPr>
              <w:t>vecāk</w:t>
            </w:r>
            <w:r w:rsidR="005F28CD">
              <w:rPr>
                <w:color w:val="000000" w:themeColor="text1"/>
              </w:rPr>
              <w:t>ā</w:t>
            </w:r>
            <w:r w:rsidR="00DE52DA" w:rsidRPr="008A0212">
              <w:rPr>
                <w:color w:val="000000" w:themeColor="text1"/>
              </w:rPr>
              <w:t xml:space="preserve"> referent</w:t>
            </w:r>
            <w:r w:rsidR="005F28CD">
              <w:rPr>
                <w:color w:val="000000" w:themeColor="text1"/>
              </w:rPr>
              <w:t>e</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7E89DFCC" w:rsidR="002B30E2" w:rsidRPr="008A0212" w:rsidRDefault="00697A39" w:rsidP="005A7BDF">
            <w:pPr>
              <w:jc w:val="center"/>
              <w:rPr>
                <w:color w:val="000000" w:themeColor="text1"/>
              </w:rPr>
            </w:pPr>
            <w:r w:rsidRPr="008A0212">
              <w:rPr>
                <w:color w:val="000000" w:themeColor="text1"/>
              </w:rPr>
              <w:t>Tālr</w:t>
            </w:r>
            <w:r w:rsidR="00862046">
              <w:rPr>
                <w:color w:val="000000" w:themeColor="text1"/>
              </w:rPr>
              <w:t>.</w:t>
            </w:r>
            <w:r w:rsidRPr="008A0212">
              <w:rPr>
                <w:color w:val="000000" w:themeColor="text1"/>
              </w:rPr>
              <w:t>: 67027</w:t>
            </w:r>
            <w:r w:rsidR="00862046">
              <w:rPr>
                <w:color w:val="000000" w:themeColor="text1"/>
              </w:rPr>
              <w:t>55</w:t>
            </w:r>
            <w:r w:rsidR="00971364">
              <w:rPr>
                <w:color w:val="000000" w:themeColor="text1"/>
              </w:rPr>
              <w:t>8</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7D0A9693" w:rsidR="002B30E2" w:rsidRPr="008A0212" w:rsidRDefault="00862046" w:rsidP="005A7BDF">
            <w:pPr>
              <w:jc w:val="center"/>
              <w:rPr>
                <w:color w:val="000000" w:themeColor="text1"/>
              </w:rPr>
            </w:pPr>
            <w:r>
              <w:rPr>
                <w:color w:val="000000" w:themeColor="text1"/>
              </w:rPr>
              <w:t>Inga.Zagare</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2046E863" w14:textId="14746AB3" w:rsidR="00094F24" w:rsidRPr="005A7BDF" w:rsidRDefault="00094F24" w:rsidP="005A7BDF">
      <w:pPr>
        <w:tabs>
          <w:tab w:val="left" w:pos="7530"/>
        </w:tabs>
      </w:pPr>
      <w:bookmarkStart w:id="2" w:name="_GoBack"/>
      <w:bookmarkEnd w:id="2"/>
    </w:p>
    <w:sectPr w:rsidR="00094F24" w:rsidRPr="005A7BDF" w:rsidSect="00D56BE2">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30B5F" w14:textId="77777777" w:rsidR="00CE27C6" w:rsidRDefault="00CE27C6">
      <w:r>
        <w:separator/>
      </w:r>
    </w:p>
  </w:endnote>
  <w:endnote w:type="continuationSeparator" w:id="0">
    <w:p w14:paraId="04E835D6" w14:textId="77777777" w:rsidR="00CE27C6" w:rsidRDefault="00CE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34D028DE" w:rsidR="00135240" w:rsidRPr="00840FC2" w:rsidRDefault="00840FC2" w:rsidP="00840FC2">
    <w:pPr>
      <w:pStyle w:val="Kjene"/>
    </w:pPr>
    <w:r w:rsidRPr="00840FC2">
      <w:rPr>
        <w:rFonts w:eastAsiaTheme="minorHAnsi"/>
        <w:sz w:val="20"/>
        <w:szCs w:val="22"/>
        <w:lang w:val="en-GB" w:eastAsia="en-US"/>
      </w:rPr>
      <w:t>ZMIzz_120821_Adazi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824D" w14:textId="54882F14" w:rsidR="00C7090A" w:rsidRPr="00840FC2" w:rsidRDefault="00840FC2" w:rsidP="00840FC2">
    <w:pPr>
      <w:pStyle w:val="Kjene"/>
    </w:pPr>
    <w:r w:rsidRPr="00840FC2">
      <w:rPr>
        <w:rFonts w:eastAsiaTheme="minorHAnsi"/>
        <w:sz w:val="20"/>
        <w:szCs w:val="22"/>
        <w:lang w:val="en-GB" w:eastAsia="en-US"/>
      </w:rPr>
      <w:t>ZMIzz_120821_Adazi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95B5F" w14:textId="77777777" w:rsidR="00CE27C6" w:rsidRDefault="00CE27C6">
      <w:r>
        <w:separator/>
      </w:r>
    </w:p>
  </w:footnote>
  <w:footnote w:type="continuationSeparator" w:id="0">
    <w:p w14:paraId="4911E386" w14:textId="77777777" w:rsidR="00CE27C6" w:rsidRDefault="00CE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6302"/>
      <w:docPartObj>
        <w:docPartGallery w:val="Page Numbers (Top of Page)"/>
        <w:docPartUnique/>
      </w:docPartObj>
    </w:sdtPr>
    <w:sdtEndPr/>
    <w:sdtContent>
      <w:p w14:paraId="3E9C06AC" w14:textId="05A24568" w:rsidR="00C7090A" w:rsidRDefault="00C7090A">
        <w:pPr>
          <w:pStyle w:val="Galvene"/>
          <w:jc w:val="center"/>
        </w:pPr>
        <w:r>
          <w:fldChar w:fldCharType="begin"/>
        </w:r>
        <w:r>
          <w:instrText>PAGE   \* MERGEFORMAT</w:instrText>
        </w:r>
        <w:r>
          <w:fldChar w:fldCharType="separate"/>
        </w:r>
        <w:r w:rsidR="005F28CD">
          <w:rPr>
            <w:noProof/>
          </w:rPr>
          <w:t>5</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3"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4"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6"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7"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8"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9"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0"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1"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FBE71C3"/>
    <w:multiLevelType w:val="hybridMultilevel"/>
    <w:tmpl w:val="067E56B4"/>
    <w:lvl w:ilvl="0" w:tplc="630C63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2140167"/>
    <w:multiLevelType w:val="multilevel"/>
    <w:tmpl w:val="00C0471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5"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6"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19"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20"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1"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3"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4"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25"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26" w15:restartNumberingAfterBreak="0">
    <w:nsid w:val="7D434014"/>
    <w:multiLevelType w:val="hybridMultilevel"/>
    <w:tmpl w:val="E2A8EBB0"/>
    <w:lvl w:ilvl="0" w:tplc="0426000F">
      <w:start w:val="1"/>
      <w:numFmt w:val="decimal"/>
      <w:lvlText w:val="%1."/>
      <w:lvlJc w:val="left"/>
      <w:pPr>
        <w:ind w:left="76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3"/>
  </w:num>
  <w:num w:numId="2">
    <w:abstractNumId w:val="3"/>
  </w:num>
  <w:num w:numId="3">
    <w:abstractNumId w:val="24"/>
  </w:num>
  <w:num w:numId="4">
    <w:abstractNumId w:val="19"/>
  </w:num>
  <w:num w:numId="5">
    <w:abstractNumId w:val="18"/>
  </w:num>
  <w:num w:numId="6">
    <w:abstractNumId w:val="6"/>
  </w:num>
  <w:num w:numId="7">
    <w:abstractNumId w:val="0"/>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2"/>
  </w:num>
  <w:num w:numId="12">
    <w:abstractNumId w:val="9"/>
  </w:num>
  <w:num w:numId="13">
    <w:abstractNumId w:val="23"/>
  </w:num>
  <w:num w:numId="14">
    <w:abstractNumId w:val="20"/>
  </w:num>
  <w:num w:numId="15">
    <w:abstractNumId w:val="2"/>
  </w:num>
  <w:num w:numId="1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5"/>
  </w:num>
  <w:num w:numId="19">
    <w:abstractNumId w:val="14"/>
  </w:num>
  <w:num w:numId="20">
    <w:abstractNumId w:val="1"/>
  </w:num>
  <w:num w:numId="21">
    <w:abstractNumId w:val="8"/>
  </w:num>
  <w:num w:numId="22">
    <w:abstractNumId w:val="21"/>
  </w:num>
  <w:num w:numId="23">
    <w:abstractNumId w:val="17"/>
  </w:num>
  <w:num w:numId="24">
    <w:abstractNumId w:val="11"/>
  </w:num>
  <w:num w:numId="25">
    <w:abstractNumId w:val="27"/>
  </w:num>
  <w:num w:numId="26">
    <w:abstractNumId w:val="16"/>
  </w:num>
  <w:num w:numId="27">
    <w:abstractNumId w:val="26"/>
  </w:num>
  <w:num w:numId="28">
    <w:abstractNumId w:val="12"/>
  </w:num>
  <w:num w:numId="2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2A86"/>
    <w:rsid w:val="000037AD"/>
    <w:rsid w:val="00012255"/>
    <w:rsid w:val="00013966"/>
    <w:rsid w:val="00021663"/>
    <w:rsid w:val="00023E21"/>
    <w:rsid w:val="00025C05"/>
    <w:rsid w:val="00027B27"/>
    <w:rsid w:val="000300DC"/>
    <w:rsid w:val="00030DF4"/>
    <w:rsid w:val="00041DFF"/>
    <w:rsid w:val="000635A4"/>
    <w:rsid w:val="000661D8"/>
    <w:rsid w:val="000668B1"/>
    <w:rsid w:val="000673EB"/>
    <w:rsid w:val="00071349"/>
    <w:rsid w:val="00074D8E"/>
    <w:rsid w:val="00076827"/>
    <w:rsid w:val="000818C7"/>
    <w:rsid w:val="00086541"/>
    <w:rsid w:val="00091690"/>
    <w:rsid w:val="0009198E"/>
    <w:rsid w:val="00091A73"/>
    <w:rsid w:val="0009278B"/>
    <w:rsid w:val="00093717"/>
    <w:rsid w:val="00094F24"/>
    <w:rsid w:val="00096E4E"/>
    <w:rsid w:val="000B5039"/>
    <w:rsid w:val="000B5128"/>
    <w:rsid w:val="000B7E8D"/>
    <w:rsid w:val="000C3913"/>
    <w:rsid w:val="000D0267"/>
    <w:rsid w:val="000D0C3E"/>
    <w:rsid w:val="000D4B8F"/>
    <w:rsid w:val="000E2B0C"/>
    <w:rsid w:val="000E4DE2"/>
    <w:rsid w:val="000E5A4D"/>
    <w:rsid w:val="000E7A9E"/>
    <w:rsid w:val="000F0910"/>
    <w:rsid w:val="000F7D2F"/>
    <w:rsid w:val="001117D0"/>
    <w:rsid w:val="00111BE6"/>
    <w:rsid w:val="001121FE"/>
    <w:rsid w:val="001204D0"/>
    <w:rsid w:val="001212BC"/>
    <w:rsid w:val="00121BD3"/>
    <w:rsid w:val="00127414"/>
    <w:rsid w:val="00127F4C"/>
    <w:rsid w:val="00135240"/>
    <w:rsid w:val="001375D8"/>
    <w:rsid w:val="001430B2"/>
    <w:rsid w:val="00151278"/>
    <w:rsid w:val="0015355D"/>
    <w:rsid w:val="0015728E"/>
    <w:rsid w:val="00165433"/>
    <w:rsid w:val="00171078"/>
    <w:rsid w:val="00176502"/>
    <w:rsid w:val="00195675"/>
    <w:rsid w:val="001B1BED"/>
    <w:rsid w:val="001C5C19"/>
    <w:rsid w:val="001D1911"/>
    <w:rsid w:val="001E16C6"/>
    <w:rsid w:val="001E52CB"/>
    <w:rsid w:val="00202F5C"/>
    <w:rsid w:val="002119FD"/>
    <w:rsid w:val="00223FDA"/>
    <w:rsid w:val="00227B6F"/>
    <w:rsid w:val="00234662"/>
    <w:rsid w:val="00236AB7"/>
    <w:rsid w:val="0023759B"/>
    <w:rsid w:val="00240F0E"/>
    <w:rsid w:val="002459C8"/>
    <w:rsid w:val="002500C0"/>
    <w:rsid w:val="00261564"/>
    <w:rsid w:val="00270BF5"/>
    <w:rsid w:val="002761BA"/>
    <w:rsid w:val="00276DD6"/>
    <w:rsid w:val="002774DB"/>
    <w:rsid w:val="00280D16"/>
    <w:rsid w:val="002824BE"/>
    <w:rsid w:val="00287D79"/>
    <w:rsid w:val="002A745C"/>
    <w:rsid w:val="002A7C35"/>
    <w:rsid w:val="002B291F"/>
    <w:rsid w:val="002B2B33"/>
    <w:rsid w:val="002B30E2"/>
    <w:rsid w:val="002C03A2"/>
    <w:rsid w:val="002D448B"/>
    <w:rsid w:val="002D6861"/>
    <w:rsid w:val="002E0101"/>
    <w:rsid w:val="002E6821"/>
    <w:rsid w:val="002F725C"/>
    <w:rsid w:val="00302D94"/>
    <w:rsid w:val="00307C0A"/>
    <w:rsid w:val="003148D4"/>
    <w:rsid w:val="0031575C"/>
    <w:rsid w:val="00316E0B"/>
    <w:rsid w:val="00324BAA"/>
    <w:rsid w:val="003253C3"/>
    <w:rsid w:val="00337CEA"/>
    <w:rsid w:val="00347A63"/>
    <w:rsid w:val="003512F4"/>
    <w:rsid w:val="00365A16"/>
    <w:rsid w:val="00376A07"/>
    <w:rsid w:val="00376E5B"/>
    <w:rsid w:val="00376F40"/>
    <w:rsid w:val="00380F3D"/>
    <w:rsid w:val="00381959"/>
    <w:rsid w:val="00390DF9"/>
    <w:rsid w:val="00392257"/>
    <w:rsid w:val="003957DC"/>
    <w:rsid w:val="003A20DB"/>
    <w:rsid w:val="003A50A4"/>
    <w:rsid w:val="003A5690"/>
    <w:rsid w:val="003A78D8"/>
    <w:rsid w:val="003B4E1B"/>
    <w:rsid w:val="003B5D92"/>
    <w:rsid w:val="003C0BAB"/>
    <w:rsid w:val="003C1855"/>
    <w:rsid w:val="003C508F"/>
    <w:rsid w:val="003D3315"/>
    <w:rsid w:val="003E4018"/>
    <w:rsid w:val="003E5005"/>
    <w:rsid w:val="003E721E"/>
    <w:rsid w:val="004046FF"/>
    <w:rsid w:val="00411D9E"/>
    <w:rsid w:val="0041262E"/>
    <w:rsid w:val="00417CA1"/>
    <w:rsid w:val="0042286F"/>
    <w:rsid w:val="00422F04"/>
    <w:rsid w:val="00431AAE"/>
    <w:rsid w:val="004376EE"/>
    <w:rsid w:val="00440B7A"/>
    <w:rsid w:val="00443361"/>
    <w:rsid w:val="00447AD0"/>
    <w:rsid w:val="0045741B"/>
    <w:rsid w:val="004607D8"/>
    <w:rsid w:val="00463025"/>
    <w:rsid w:val="00467E30"/>
    <w:rsid w:val="00473C57"/>
    <w:rsid w:val="00475868"/>
    <w:rsid w:val="00476F7A"/>
    <w:rsid w:val="0048171F"/>
    <w:rsid w:val="004A19B5"/>
    <w:rsid w:val="004B0FB4"/>
    <w:rsid w:val="004B6A47"/>
    <w:rsid w:val="004B7680"/>
    <w:rsid w:val="004B7A30"/>
    <w:rsid w:val="004C3D7E"/>
    <w:rsid w:val="004D1A1D"/>
    <w:rsid w:val="004D2D73"/>
    <w:rsid w:val="004D3196"/>
    <w:rsid w:val="004E4E7D"/>
    <w:rsid w:val="004F46F9"/>
    <w:rsid w:val="004F79A5"/>
    <w:rsid w:val="004F7E89"/>
    <w:rsid w:val="00506D05"/>
    <w:rsid w:val="00511A94"/>
    <w:rsid w:val="00511F5B"/>
    <w:rsid w:val="00512F51"/>
    <w:rsid w:val="00513CED"/>
    <w:rsid w:val="005149C3"/>
    <w:rsid w:val="00522776"/>
    <w:rsid w:val="00523B3D"/>
    <w:rsid w:val="005246F8"/>
    <w:rsid w:val="00533944"/>
    <w:rsid w:val="005419A9"/>
    <w:rsid w:val="00543CDE"/>
    <w:rsid w:val="0055064A"/>
    <w:rsid w:val="00551E9F"/>
    <w:rsid w:val="00552FFB"/>
    <w:rsid w:val="00566A43"/>
    <w:rsid w:val="00567681"/>
    <w:rsid w:val="005910CC"/>
    <w:rsid w:val="00595128"/>
    <w:rsid w:val="00597A46"/>
    <w:rsid w:val="005A0C9A"/>
    <w:rsid w:val="005A219B"/>
    <w:rsid w:val="005A46EA"/>
    <w:rsid w:val="005A4FEE"/>
    <w:rsid w:val="005A62C9"/>
    <w:rsid w:val="005A7BDF"/>
    <w:rsid w:val="005B0C23"/>
    <w:rsid w:val="005C0036"/>
    <w:rsid w:val="005C0681"/>
    <w:rsid w:val="005C5EBA"/>
    <w:rsid w:val="005D1D6A"/>
    <w:rsid w:val="005E5761"/>
    <w:rsid w:val="005F01D1"/>
    <w:rsid w:val="005F28CD"/>
    <w:rsid w:val="0060086D"/>
    <w:rsid w:val="0060377F"/>
    <w:rsid w:val="00604AAA"/>
    <w:rsid w:val="006068C9"/>
    <w:rsid w:val="00610273"/>
    <w:rsid w:val="00611DE9"/>
    <w:rsid w:val="0061541F"/>
    <w:rsid w:val="00622E96"/>
    <w:rsid w:val="00623FFD"/>
    <w:rsid w:val="00625544"/>
    <w:rsid w:val="0063060D"/>
    <w:rsid w:val="00645361"/>
    <w:rsid w:val="00654080"/>
    <w:rsid w:val="006546A2"/>
    <w:rsid w:val="00661FB8"/>
    <w:rsid w:val="0066429A"/>
    <w:rsid w:val="0068125B"/>
    <w:rsid w:val="006833FE"/>
    <w:rsid w:val="00684774"/>
    <w:rsid w:val="00692B47"/>
    <w:rsid w:val="00696008"/>
    <w:rsid w:val="0069774F"/>
    <w:rsid w:val="00697A39"/>
    <w:rsid w:val="006A08F2"/>
    <w:rsid w:val="006A12C0"/>
    <w:rsid w:val="006B64F6"/>
    <w:rsid w:val="006C0A09"/>
    <w:rsid w:val="006C155F"/>
    <w:rsid w:val="006C4C64"/>
    <w:rsid w:val="006C74F1"/>
    <w:rsid w:val="006C79D0"/>
    <w:rsid w:val="006D2D83"/>
    <w:rsid w:val="006F58A1"/>
    <w:rsid w:val="00703A8C"/>
    <w:rsid w:val="0071122E"/>
    <w:rsid w:val="00716374"/>
    <w:rsid w:val="00717FCB"/>
    <w:rsid w:val="00723F8B"/>
    <w:rsid w:val="00730462"/>
    <w:rsid w:val="00734A84"/>
    <w:rsid w:val="0073545E"/>
    <w:rsid w:val="007437FC"/>
    <w:rsid w:val="007449C4"/>
    <w:rsid w:val="007554B1"/>
    <w:rsid w:val="007619F0"/>
    <w:rsid w:val="00770403"/>
    <w:rsid w:val="007768A3"/>
    <w:rsid w:val="00777A5C"/>
    <w:rsid w:val="00782005"/>
    <w:rsid w:val="00782861"/>
    <w:rsid w:val="0078664E"/>
    <w:rsid w:val="00790BD2"/>
    <w:rsid w:val="007933C1"/>
    <w:rsid w:val="007963F8"/>
    <w:rsid w:val="007A2876"/>
    <w:rsid w:val="007A4438"/>
    <w:rsid w:val="007A6640"/>
    <w:rsid w:val="007B3CDC"/>
    <w:rsid w:val="007B583B"/>
    <w:rsid w:val="007C0941"/>
    <w:rsid w:val="007C2EC0"/>
    <w:rsid w:val="007D15FF"/>
    <w:rsid w:val="007E7D10"/>
    <w:rsid w:val="007F7978"/>
    <w:rsid w:val="00800167"/>
    <w:rsid w:val="0080251F"/>
    <w:rsid w:val="00803D88"/>
    <w:rsid w:val="00814C30"/>
    <w:rsid w:val="008301DD"/>
    <w:rsid w:val="008314D0"/>
    <w:rsid w:val="00837396"/>
    <w:rsid w:val="00840FC2"/>
    <w:rsid w:val="008509A3"/>
    <w:rsid w:val="00851F7E"/>
    <w:rsid w:val="00852ADD"/>
    <w:rsid w:val="00853449"/>
    <w:rsid w:val="00856AAB"/>
    <w:rsid w:val="00862046"/>
    <w:rsid w:val="00870A1C"/>
    <w:rsid w:val="00886F62"/>
    <w:rsid w:val="00891B25"/>
    <w:rsid w:val="008A0212"/>
    <w:rsid w:val="008A2110"/>
    <w:rsid w:val="008A2F59"/>
    <w:rsid w:val="008A3B64"/>
    <w:rsid w:val="008A4809"/>
    <w:rsid w:val="008A4DE4"/>
    <w:rsid w:val="008B1037"/>
    <w:rsid w:val="008B16F2"/>
    <w:rsid w:val="008B43ED"/>
    <w:rsid w:val="008C0685"/>
    <w:rsid w:val="008D3258"/>
    <w:rsid w:val="008D46A0"/>
    <w:rsid w:val="008E0056"/>
    <w:rsid w:val="008E0C06"/>
    <w:rsid w:val="008E0DD2"/>
    <w:rsid w:val="008E47AC"/>
    <w:rsid w:val="008E7C0D"/>
    <w:rsid w:val="008F0344"/>
    <w:rsid w:val="008F3D70"/>
    <w:rsid w:val="008F6DBF"/>
    <w:rsid w:val="008F7D72"/>
    <w:rsid w:val="009028F5"/>
    <w:rsid w:val="009131D4"/>
    <w:rsid w:val="00914E46"/>
    <w:rsid w:val="009168E5"/>
    <w:rsid w:val="00921EA2"/>
    <w:rsid w:val="00940E44"/>
    <w:rsid w:val="00942860"/>
    <w:rsid w:val="00947104"/>
    <w:rsid w:val="00952454"/>
    <w:rsid w:val="00954E09"/>
    <w:rsid w:val="00957803"/>
    <w:rsid w:val="00961629"/>
    <w:rsid w:val="00971364"/>
    <w:rsid w:val="00973696"/>
    <w:rsid w:val="00974439"/>
    <w:rsid w:val="00982592"/>
    <w:rsid w:val="009A2237"/>
    <w:rsid w:val="009B23AA"/>
    <w:rsid w:val="009B2CCB"/>
    <w:rsid w:val="009B65C5"/>
    <w:rsid w:val="009D280D"/>
    <w:rsid w:val="009D6E18"/>
    <w:rsid w:val="009E17B2"/>
    <w:rsid w:val="009E3D85"/>
    <w:rsid w:val="009F1F0A"/>
    <w:rsid w:val="009F40F8"/>
    <w:rsid w:val="009F6AA2"/>
    <w:rsid w:val="00A032D3"/>
    <w:rsid w:val="00A169DF"/>
    <w:rsid w:val="00A17BF9"/>
    <w:rsid w:val="00A24D06"/>
    <w:rsid w:val="00A27A2A"/>
    <w:rsid w:val="00A30CEE"/>
    <w:rsid w:val="00A377E7"/>
    <w:rsid w:val="00A42C17"/>
    <w:rsid w:val="00A446CF"/>
    <w:rsid w:val="00A453F2"/>
    <w:rsid w:val="00A45AD5"/>
    <w:rsid w:val="00A530EF"/>
    <w:rsid w:val="00A53C8A"/>
    <w:rsid w:val="00A565E2"/>
    <w:rsid w:val="00A758B8"/>
    <w:rsid w:val="00A8550C"/>
    <w:rsid w:val="00A86343"/>
    <w:rsid w:val="00A870E8"/>
    <w:rsid w:val="00A87F55"/>
    <w:rsid w:val="00A95A32"/>
    <w:rsid w:val="00A97021"/>
    <w:rsid w:val="00A97FB2"/>
    <w:rsid w:val="00AB1EC3"/>
    <w:rsid w:val="00AB39F5"/>
    <w:rsid w:val="00AB66EB"/>
    <w:rsid w:val="00AC1C68"/>
    <w:rsid w:val="00AC3FE3"/>
    <w:rsid w:val="00AC6D48"/>
    <w:rsid w:val="00AD5A8D"/>
    <w:rsid w:val="00AE0B27"/>
    <w:rsid w:val="00AE1C28"/>
    <w:rsid w:val="00AF0547"/>
    <w:rsid w:val="00AF1EC2"/>
    <w:rsid w:val="00AF2E27"/>
    <w:rsid w:val="00AF39D3"/>
    <w:rsid w:val="00B01F7B"/>
    <w:rsid w:val="00B046B3"/>
    <w:rsid w:val="00B07BB9"/>
    <w:rsid w:val="00B152E5"/>
    <w:rsid w:val="00B25C9C"/>
    <w:rsid w:val="00B37EAB"/>
    <w:rsid w:val="00B46B0D"/>
    <w:rsid w:val="00B46EA0"/>
    <w:rsid w:val="00B61A0C"/>
    <w:rsid w:val="00B61F75"/>
    <w:rsid w:val="00B620D9"/>
    <w:rsid w:val="00B77B70"/>
    <w:rsid w:val="00B81E07"/>
    <w:rsid w:val="00B838CA"/>
    <w:rsid w:val="00B877BC"/>
    <w:rsid w:val="00B9575D"/>
    <w:rsid w:val="00BA0E9A"/>
    <w:rsid w:val="00BB383C"/>
    <w:rsid w:val="00BB6A2C"/>
    <w:rsid w:val="00BD6962"/>
    <w:rsid w:val="00BD6ECB"/>
    <w:rsid w:val="00BE273F"/>
    <w:rsid w:val="00BE306E"/>
    <w:rsid w:val="00BE395F"/>
    <w:rsid w:val="00BE578B"/>
    <w:rsid w:val="00BF23AD"/>
    <w:rsid w:val="00BF6F59"/>
    <w:rsid w:val="00C01067"/>
    <w:rsid w:val="00C05C04"/>
    <w:rsid w:val="00C12081"/>
    <w:rsid w:val="00C13386"/>
    <w:rsid w:val="00C1706C"/>
    <w:rsid w:val="00C211C6"/>
    <w:rsid w:val="00C2332F"/>
    <w:rsid w:val="00C27391"/>
    <w:rsid w:val="00C27BBC"/>
    <w:rsid w:val="00C31883"/>
    <w:rsid w:val="00C33EEB"/>
    <w:rsid w:val="00C3793D"/>
    <w:rsid w:val="00C41EB3"/>
    <w:rsid w:val="00C4403D"/>
    <w:rsid w:val="00C443CD"/>
    <w:rsid w:val="00C508C5"/>
    <w:rsid w:val="00C51F1B"/>
    <w:rsid w:val="00C52735"/>
    <w:rsid w:val="00C57141"/>
    <w:rsid w:val="00C70643"/>
    <w:rsid w:val="00C7090A"/>
    <w:rsid w:val="00C71503"/>
    <w:rsid w:val="00C762CF"/>
    <w:rsid w:val="00C77E8A"/>
    <w:rsid w:val="00C83B0C"/>
    <w:rsid w:val="00C86607"/>
    <w:rsid w:val="00C90A02"/>
    <w:rsid w:val="00C9397A"/>
    <w:rsid w:val="00C95971"/>
    <w:rsid w:val="00C95E0A"/>
    <w:rsid w:val="00CA0008"/>
    <w:rsid w:val="00CA0A4D"/>
    <w:rsid w:val="00CA34E1"/>
    <w:rsid w:val="00CA5E2C"/>
    <w:rsid w:val="00CB42C0"/>
    <w:rsid w:val="00CC0F17"/>
    <w:rsid w:val="00CE059A"/>
    <w:rsid w:val="00CE0683"/>
    <w:rsid w:val="00CE123A"/>
    <w:rsid w:val="00CE1A9F"/>
    <w:rsid w:val="00CE27C6"/>
    <w:rsid w:val="00CE2F77"/>
    <w:rsid w:val="00CE332F"/>
    <w:rsid w:val="00D026E3"/>
    <w:rsid w:val="00D0389D"/>
    <w:rsid w:val="00D10FF6"/>
    <w:rsid w:val="00D15208"/>
    <w:rsid w:val="00D16746"/>
    <w:rsid w:val="00D20412"/>
    <w:rsid w:val="00D2104F"/>
    <w:rsid w:val="00D232F1"/>
    <w:rsid w:val="00D32661"/>
    <w:rsid w:val="00D513ED"/>
    <w:rsid w:val="00D51999"/>
    <w:rsid w:val="00D56BE2"/>
    <w:rsid w:val="00D57914"/>
    <w:rsid w:val="00D61A65"/>
    <w:rsid w:val="00D647FC"/>
    <w:rsid w:val="00D6588E"/>
    <w:rsid w:val="00D65CC3"/>
    <w:rsid w:val="00D70E2C"/>
    <w:rsid w:val="00D765C9"/>
    <w:rsid w:val="00D77E00"/>
    <w:rsid w:val="00D857AA"/>
    <w:rsid w:val="00D913D3"/>
    <w:rsid w:val="00DA4F8F"/>
    <w:rsid w:val="00DA6F95"/>
    <w:rsid w:val="00DA721A"/>
    <w:rsid w:val="00DB1BDB"/>
    <w:rsid w:val="00DB5D4A"/>
    <w:rsid w:val="00DC3D96"/>
    <w:rsid w:val="00DC4242"/>
    <w:rsid w:val="00DC5195"/>
    <w:rsid w:val="00DD13AD"/>
    <w:rsid w:val="00DD2D8B"/>
    <w:rsid w:val="00DD436D"/>
    <w:rsid w:val="00DD49DE"/>
    <w:rsid w:val="00DD7E08"/>
    <w:rsid w:val="00DE10F4"/>
    <w:rsid w:val="00DE52DA"/>
    <w:rsid w:val="00DE7D8B"/>
    <w:rsid w:val="00DF2F35"/>
    <w:rsid w:val="00DF3374"/>
    <w:rsid w:val="00E01AD3"/>
    <w:rsid w:val="00E04B66"/>
    <w:rsid w:val="00E06BB2"/>
    <w:rsid w:val="00E14CC4"/>
    <w:rsid w:val="00E16B0D"/>
    <w:rsid w:val="00E178DF"/>
    <w:rsid w:val="00E20C7D"/>
    <w:rsid w:val="00E24C3F"/>
    <w:rsid w:val="00E33507"/>
    <w:rsid w:val="00E341BC"/>
    <w:rsid w:val="00E51FF3"/>
    <w:rsid w:val="00E52EE2"/>
    <w:rsid w:val="00E54216"/>
    <w:rsid w:val="00E54887"/>
    <w:rsid w:val="00E578B9"/>
    <w:rsid w:val="00E61782"/>
    <w:rsid w:val="00E646AB"/>
    <w:rsid w:val="00E67CF5"/>
    <w:rsid w:val="00E7065E"/>
    <w:rsid w:val="00E74F3F"/>
    <w:rsid w:val="00E7715C"/>
    <w:rsid w:val="00E77E17"/>
    <w:rsid w:val="00E83B36"/>
    <w:rsid w:val="00E84A5D"/>
    <w:rsid w:val="00E84C1E"/>
    <w:rsid w:val="00E85FC5"/>
    <w:rsid w:val="00E90039"/>
    <w:rsid w:val="00E941B2"/>
    <w:rsid w:val="00EA3E85"/>
    <w:rsid w:val="00EA4225"/>
    <w:rsid w:val="00EB14EA"/>
    <w:rsid w:val="00EB2394"/>
    <w:rsid w:val="00EB26EA"/>
    <w:rsid w:val="00EB29B4"/>
    <w:rsid w:val="00EB6CD5"/>
    <w:rsid w:val="00EC116A"/>
    <w:rsid w:val="00EC2098"/>
    <w:rsid w:val="00ED4BAB"/>
    <w:rsid w:val="00ED5024"/>
    <w:rsid w:val="00EE3B23"/>
    <w:rsid w:val="00EE580D"/>
    <w:rsid w:val="00EE681E"/>
    <w:rsid w:val="00EF6F8C"/>
    <w:rsid w:val="00EF7DDE"/>
    <w:rsid w:val="00F00B50"/>
    <w:rsid w:val="00F0192A"/>
    <w:rsid w:val="00F03139"/>
    <w:rsid w:val="00F05A88"/>
    <w:rsid w:val="00F10192"/>
    <w:rsid w:val="00F1228B"/>
    <w:rsid w:val="00F1360F"/>
    <w:rsid w:val="00F17111"/>
    <w:rsid w:val="00F24BE2"/>
    <w:rsid w:val="00F311B8"/>
    <w:rsid w:val="00F372F6"/>
    <w:rsid w:val="00F559BD"/>
    <w:rsid w:val="00F560F1"/>
    <w:rsid w:val="00F62DCA"/>
    <w:rsid w:val="00F95826"/>
    <w:rsid w:val="00FB0087"/>
    <w:rsid w:val="00FB19BC"/>
    <w:rsid w:val="00FB47C0"/>
    <w:rsid w:val="00FB6776"/>
    <w:rsid w:val="00FC01E1"/>
    <w:rsid w:val="00FC5D9D"/>
    <w:rsid w:val="00FC7726"/>
    <w:rsid w:val="00FC7B32"/>
    <w:rsid w:val="00FD3A93"/>
    <w:rsid w:val="00FD7A87"/>
    <w:rsid w:val="00FE09FF"/>
    <w:rsid w:val="00FE3FDF"/>
    <w:rsid w:val="00FE70C7"/>
    <w:rsid w:val="00FF5021"/>
    <w:rsid w:val="00FF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068C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customStyle="1" w:styleId="UnresolvedMention1">
    <w:name w:val="Unresolved Mention1"/>
    <w:basedOn w:val="Noklusjumarindkopasfonts"/>
    <w:uiPriority w:val="99"/>
    <w:semiHidden/>
    <w:unhideWhenUsed/>
    <w:rsid w:val="00C508C5"/>
    <w:rPr>
      <w:color w:val="605E5C"/>
      <w:shd w:val="clear" w:color="auto" w:fill="E1DFDD"/>
    </w:rPr>
  </w:style>
  <w:style w:type="paragraph" w:styleId="Pamatteksts">
    <w:name w:val="Body Text"/>
    <w:basedOn w:val="Parasts"/>
    <w:link w:val="PamattekstsRakstz"/>
    <w:rsid w:val="008F6DBF"/>
    <w:pPr>
      <w:spacing w:after="120"/>
    </w:pPr>
  </w:style>
  <w:style w:type="character" w:customStyle="1" w:styleId="PamattekstsRakstz">
    <w:name w:val="Pamatteksts Rakstz."/>
    <w:basedOn w:val="Noklusjumarindkopasfonts"/>
    <w:link w:val="Pamatteksts"/>
    <w:rsid w:val="008F6DB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8CA8F-168F-41D8-8B9A-0AB36C74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4333</Words>
  <Characters>2471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valsts meža zemes nodošanu Jelgavas novada pašvaldības īpašumā” (VSS-820)</vt:lpstr>
      <vt:lpstr/>
    </vt:vector>
  </TitlesOfParts>
  <Company>Zemkopības Ministrija</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valsts meža zemes nodošanu Jelgavas novada pašvaldības īpašumā” (VSS-820)</dc:title>
  <dc:subject>izziņa</dc:subject>
  <dc:creator>Inga Žagare</dc:creator>
  <dc:description>Žagare 67027558 Inga.Zagare@zm.gov.lv</dc:description>
  <cp:lastModifiedBy>Sanita Papinova</cp:lastModifiedBy>
  <cp:revision>11</cp:revision>
  <cp:lastPrinted>2021-02-15T11:52:00Z</cp:lastPrinted>
  <dcterms:created xsi:type="dcterms:W3CDTF">2021-08-09T08:17:00Z</dcterms:created>
  <dcterms:modified xsi:type="dcterms:W3CDTF">2021-08-19T08:04:00Z</dcterms:modified>
</cp:coreProperties>
</file>