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22-TA-157: Informatīvais ziņojums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Republikas kārtējais ziņojums par Apvienoto Nāciju Organizācijas 1966.gada Starptautiskā pakta par pilsoniskajām un politiskajām tiesībām ieviešanu Latvijas Republikā 2014.-2019.gadā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"Latvijas Republikas kārtējais ziņojums par Apvienoto Nāciju Organizācijas 1966.gada Starptautiskā pakta par pilsoniskajām un politiskajām tiesībām ieviešanu Latvijas Republikā 2014.-2019.gadā" sadaļas "Pakta 26. un 27.pants" apakšsadaļu "Latviešu valodas apguve pieaugušajiem –21.rekomendācija" ar 148.punktu.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Kultūras ministrija ir Patvēruma, migrācijas un integrācijas fonda (turpmāk – PMIF) 2014.-2020.gada plānošanas periodā deleģētā iestāde integrācijas jomā. PMIF ietvaros tiek īstenotas aktivitātes „Atbalsta pasākumi starptautiskās aizsardzības personām (bēgļiem un personām, kurām piešķirts alternatīvais statuss)” (aktivitāte tiek īstenota kopš 2016.gada, latviešu valodas kursi aktivitātes ietvaros tiek nodrošināti kopš 2018.gada) un „Latviešu valodas lietošanas publiskajā telpā, tai skaitā daudzveidīgu pieeju latviešu valodas apguvē, attīstīšana” (aktivitāte tiek īstenota kopš 2017.gada), kuru viens no mērķiem ir nodrošināt latviešu valodas mācību kursus trešo valstu pilsoņiem, patvēruma meklētājiem, kā arī bēgļiem un personām, kurām piešķirts alternatīvais statuss. Aktivitātes „Atbalsta pasākumi starptautiskās aizsardzības personām (bēgļiem un personām, kurām piešķirts alternatīvais statuss)” ietvaros līdz 2019.gada beigām latviešu valodas kursus ir beigušas 106 personas (bēgļi, patvēruma meklētāji un personas, kurām piešķirts alternatīvais statuss). Savukārt aktivitātes „Latviešu valodas lietošanas publiskajā telpā, tai skaitā daudzveidīgu pieeju latviešu valodas apguvē, attīstīšana” ietvaros latviešu valodas kursus ir beiguši 1982 trešo valstu pilsoņi."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papildināts ar 150.rindkopu.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projekta 84. punktā norādīt darbības programmas “Izugsme un nodarbinātība” (turpmāk – DP) pasākuma numuru un nosaukumu kura ietvaros tika īstenots 84. punktā minētais: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 sabiedrībā balstītu pakalpojumu izveide un sociālo pakalpojumu finansēšanas modeļa (individuālais budžets) izstrāde – DP 9.2.2.2. pasākums “Sociālo pakalpojumu atbalsta sistēmas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Deinstitucionalizācijas projektu ietvaros veiktā 580 VSAC klientu izvērtēšana un atbalsta plānu izstrāde – DP 9.3.1.1. pasākums “Pakalpojumu infrastruktūras attīstība deinstitucionalizācijas plānu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86.rindkopa.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156. punktā norādīto “Uz romu mērķa grupu ir attiecināmi arī citi atbalsta mērķi pasākumiem izglītības, nodarbinātības un veselības aprūpes jomā, kas īstenoti ES struktūrfondu un Kohēzijas fonda 2014.–2020. gada plānošanas perioda darbības programmas „Izaugsme un nodarbinātība” ietvaros” ar informāciju, kādi konkrēti darbības programmas “Izugsme un nodarbinātība” (turpmāk – DP) pasākumi ir attiecināmi uz romu mērķa grupu, piemēram DP 9.1.4.4. pasākums “Dažādību veicināšana (diskriminācijas novēršana)”.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taču informācija ietverta tikai par Finanšu ministrijas konkrēti norādīto pasākumu. (Ziņojuma projekta 159.rindkopa)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40.punktu, norādot pasākumā minēto Ministru kabineta noteikumu (Nr.790)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40.rindkopa.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50.punktu, norādot pasākumā minēto Ministru kabineta noteikumu (Nr.32) datumu un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50.rindkopa.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jau 2022.gads, lūdzam precizēt ziņojuma projekta 15.pielikumu, norādot tabulā “Ārpusģimenes aprūpē esošie bērni (skaits un īpatsvars)” bērnu skaitu valstī kopā uz 31.12.2019., vienlaikus precizējot ārpusģimenes aprūpē esošo bērnu īpatsvaru pret bērnu kopējo skaitu valstī.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Precizējama ir informācija, kas norādīta Ziņojuma projekta </w:t>
            </w:r>
            <w:r w:rsidR="00000000" w:rsidRPr="00000000" w:rsidDel="00000000">
              <w:rPr>
                <w:b w:val="1"/>
                <w:rtl w:val="0"/>
              </w:rPr>
              <w:t xml:space="preserve">5.pielikuma</w:t>
            </w:r>
            <w:r w:rsidR="00000000" w:rsidRPr="00000000" w:rsidDel="00000000">
              <w:rPr>
                <w:rtl w:val="0"/>
              </w:rPr>
              <w:t xml:space="preserve"> 35.lapā (1.tabula), jo tabulā ietvertos statistiskos rādītājus nav sniegusi Ģenerālprokuratūra.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Precizējama ir informācija, kas norādīta Ziņojuma projekts </w:t>
            </w:r>
            <w:r w:rsidR="00000000" w:rsidRPr="00000000" w:rsidDel="00000000">
              <w:rPr>
                <w:b w:val="1"/>
                <w:rtl w:val="0"/>
              </w:rPr>
              <w:t xml:space="preserve">5.pielikuma</w:t>
            </w:r>
            <w:r w:rsidR="00000000" w:rsidRPr="00000000" w:rsidDel="00000000">
              <w:rPr>
                <w:rtl w:val="0"/>
              </w:rPr>
              <w:t xml:space="preserve"> 35.lapā (1.diagramma), jo diagrammā ietvertos statistiskos rādītājus nav sniegusi Ģenerālprokuratūra.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Precizējama ir informācija, kas norādīta Ziņojuma projekta </w:t>
            </w:r>
            <w:r w:rsidR="00000000" w:rsidRPr="00000000" w:rsidDel="00000000">
              <w:rPr>
                <w:b w:val="1"/>
                <w:rtl w:val="0"/>
              </w:rPr>
              <w:t xml:space="preserve">5.pielikuma</w:t>
            </w:r>
            <w:r w:rsidR="00000000" w:rsidRPr="00000000" w:rsidDel="00000000">
              <w:rPr>
                <w:rtl w:val="0"/>
              </w:rPr>
              <w:t xml:space="preserve"> 36.lapā (2.tabula), jo tabulā ietvertos statistiskos rādītājus nav sniegusi Ģenerālprokuratūra.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Precizējama ir informācija, kas norādīta Ziņojuma projekta </w:t>
            </w:r>
            <w:r w:rsidR="00000000" w:rsidRPr="00000000" w:rsidDel="00000000">
              <w:rPr>
                <w:b w:val="1"/>
                <w:rtl w:val="0"/>
              </w:rPr>
              <w:t xml:space="preserve">5.pielikuma</w:t>
            </w:r>
            <w:r w:rsidR="00000000" w:rsidRPr="00000000" w:rsidDel="00000000">
              <w:rPr>
                <w:rtl w:val="0"/>
              </w:rPr>
              <w:t xml:space="preserve"> 40.lapā (2.tabula), jo tabulā ietvertos statistiskos rādītājus nav sniegusi Ģenerālprokuratūra.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Ziņojuma projekta </w:t>
            </w:r>
            <w:r w:rsidR="00000000" w:rsidRPr="00000000" w:rsidDel="00000000">
              <w:rPr>
                <w:b w:val="1"/>
                <w:rtl w:val="0"/>
              </w:rPr>
              <w:t xml:space="preserve">6.pielikuma</w:t>
            </w:r>
            <w:r w:rsidR="00000000" w:rsidRPr="00000000" w:rsidDel="00000000">
              <w:rPr>
                <w:rtl w:val="0"/>
              </w:rPr>
              <w:t xml:space="preserve"> 58.lapā (2.tabula) ietverti Tieslietu ministrijas sniegtie dati par apcietinājuma piemērošanu tiesās laikposmā no 2014.gada līdz 2019.gadam, tajā skaitā par apcietinājuma piemērošanu pēc prokurora ierosinājuma. Tādējādi, lai nedublēto minēto informāciju, iesakām svītrot 6.pielikuma 58.lapā ietverto 1.tabulu "2014. - 2019.gadā pēc prokurora ierosinājuma piemēroto ar brīvības atņemšanu saistīto drošības līdzekļu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w:t>
            </w:r>
            <w:r w:rsidR="00000000" w:rsidRPr="00000000" w:rsidDel="00000000">
              <w:rPr>
                <w:rtl w:val="0"/>
              </w:rPr>
              <w:t xml:space="preserve"> Ziņojuma projekta </w:t>
            </w:r>
            <w:r w:rsidR="00000000" w:rsidRPr="00000000" w:rsidDel="00000000">
              <w:rPr>
                <w:b w:val="1"/>
                <w:rtl w:val="0"/>
              </w:rPr>
              <w:t xml:space="preserve">8.pielikuma </w:t>
            </w:r>
            <w:r w:rsidR="00000000" w:rsidRPr="00000000" w:rsidDel="00000000">
              <w:rPr>
                <w:rtl w:val="0"/>
              </w:rPr>
              <w:t xml:space="preserve">75.lapā šādi jāprecizē 1.tabulas virsraksts - "Prokuratūrā piemēroto drošibas līdzekļu skaits, kas ierobežo personas pārvietošanās brīvību". Vienlaikus lūdzam no minētās tabulas izsvītrot drošības līdzekļus, kuri prokuratūrā netiek piemēroti: 1) apcietinājums un 2) mājas arests, kā arī attiecīgi precizēt informāciju, kas norādīta Ziņojuma projekta 30.lapā (87.rindkopa).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5.pielikuma 1.-3.tabulai un 1.diagrammai (informācija saistībā ar cilvēktirdzniecību) mainīts informācijas sniedzējs uz Iekšlietu ministriju. 6.pielikuma 1.tabula izņemta un Ziņojuma projekta tekstā informācija attiecīgi precizēta. 8.pielikuma tabulas virsraksts un tajā iekļautā informācija precizēta. Tāpat precizēta arī Ziņojuma projekta 89.rindkopa.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ziņojuma projekta 1.pielikuma tabulā "Tiesībsarga biroja budžets un amata vietas pa gadiem (2017-2020)" pie rādītāja "Kopējie budžeta izdevumi" par 2020.gadu ir norādīti ar likumu "Par valsts budžetu 2020.gadam" apstiprinātā plāna dati, savukārt par 2017., 2018. un 2019.gadu ir norādīti budžeta izpildes dati saskaņā ar Valsts kases pārskatā "LATVIJAS REPUBLIKAS 2020.GADA PĀRSKATS PAR VALSTS BUDŽETA IZPILDI UN PAR PAŠVALDĪBU BUDŽETIEM" iekļauto informāciju, lūdzam precizēt 2020.gada rādītāju "Kopējie budžeta izdevumi" no 1 570 195 uz 1 541 103, kas ir Tiesībsarga biroja budžeta izpildes dati saskaņā ar Valsts kases pārskatā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1.pielikuma 1.tabula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ziņojuma 53.punktu papildināt ar informāciju par Latvijas dalību jaunajā ES Politikas ciklā 2018.-2021.gadā, jo atskaites periods ir no 2014. līdz 2019.gadam.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kompetentās iestādes nodrošināja dalību un pasākumu īstenošanu jaunajā ES Politikas ciklā 2018.-2021.gadam atbilstoši ES Padomes 2017. gada 28. marta secinājumiem (Nr.7704/17) par ES politikas cikla organizētas un smagas starptautiskas noziedzības jomā turpināšanu laikposmam no 2018. līdz 2021. gadam, ES Padomes 2017. gada 19. maija secinājumiem (Nr.9450/17) par ES prioritāšu noteikšanu cīņai pret organizētu un smagu starptautisku noziedzību laikposmā no 2018. līdz 2021. gadam, ES Padomes 2017. gada 16. jūnija dokumentu (Nr. 10011/1/17) par Padomes secinājumu par ES prioritāšu noteikšanu cīņai pret organizētu un smagu starptautisku noziedzību laikposmā no 2018. līdz 2021. gadam ieviešanu: kompetento dalībnieku identificēšana un ES Padomes 2017. gada 29. jūnija dokumentu (Nr. 10544/17) par ES Politikas cikla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Padomes secinājumi paredz 14 prioritārās jomas cīņai pret smago un organizēto noziedzību. Laika periodā no 2018.–2021. gadam Latvija turpina piedalīties deviņās prioritātēs (kopā ar apakšprioritātēm 13 darbības virzienos), tai skaitā prioritātē “Cilvēku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gadā un 2019.gadā tika turpināta dalība Kopīgo rīcības dienu (Joint Action Days, JAD) pasākumu plānošanā, kā arī atsevišķu šādu aktivitāšu īstenošanā, tai skaitā prioritātē  “Cilvēku tirdzniecība”. 2019.gadā Kopīgo rīcības dienu ietvaros VP sadarbībā ar Valsts darba inspekciju un VRS veica pārbaudes un  secināja, ka Latvija var kļūt par mērķa valsti darba ekspluatācijai citu valstu (Ukraina, Uzbekistāna, Kirgizstāna, Tadžikistāna) pilsoņiem būvniecības un lauksaimniecības sfērās, par kuriem netika maksāti nodokļi un nodrošinātas sociālās garantijas u.c., kā arī netika veikta viņu reģistrācija būvobjektā. Tajā pašā laikā darbiniekiem tika apsolīta viņu izcelsmes valstu apstākļiem konkurētspējīga darba samaksa skaidrā naudā. Šādas situācijas pastāvēšana var radīt cilvēku tirdzniecības riskus.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papildināts ar 54. un 55.rindkopu.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precizēt pielikuma tabulu – Valsts policijā uzsākto kriminālprocesu skaits par naida noziegumiem (91.lpp.). Atbilstoši IC Sodu reģistra datu noliktavas sistēmas datu masīva (DWH): “201412”, “201512”, "201612","201712", "201812", "201912" datiem 2018.gadā VP nav uzsākti kriminālprocesi, kā arī nav reģistrēti noziedzīgi nodarījumi pēc KL 150.panta, savukārt 2017.gadā uzsākti 2 kriminālprocesi un reģistrēti 2 noziedzīgi nodarījumi.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projekta 13.pielikuma 3.tabula (93.lpp).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"Latvijas Republikas kārtējais ziņojums par Apvienoto Nāciju Organizācijas 1966.gada Starptautiskā pakta par pilsoniskajām un politiskajām tiesībām ieviešanu Latvijas Republikā 2014.-2019.gadā" sadaļas "Pakta 26. un 27.pants" apakšsadaļas "Romu integrācija sabiedrībā –21.rekomendācija" 151.punktu, "Nacionālās identitātes, pilsoniskās sabiedrības un integrācijas politikas pamatnostādņu” nosaukumā ietverot skaitļus un vārdus: "2012.-2018.gadam".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identitātes, pilsoniskās sabiedrības un integrācijas politikas pamatnostādnēs 2012.-2018.gadam”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projekta 154.rindkopa.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"Latvijas Republikas kārtējais ziņojums par Apvienoto Nāciju Organizācijas 1966.gada Starptautiskā pakta par pilsoniskajām un politiskajām tiesībām ieviešanu Latvijas Republikā 2014.-2019.gadā" sadaļas "Pakta 26. un 27.pants" apakšsadaļas "Romu integrācija sabiedrībā –21.rekomendācija" 152.punktu.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KM paspārnē darbojas 2012. gadā izveidotā Romu integrācijas politikas īstenošanas konsultatīvā padome, kuras mērķis ir veicināt Latvijas romu integrāciju un novērtēt tās īstenošanu, stiprināt romu kopienas un valsts pārvaldes institūciju sadarbību un aktivizēt romu kopienas pilsonisko līdzdalību. Pašlaik padomes sastāvā darbojas valsts un pašvaldību iestāžu pārstāvji, romu NVO pārstāvji un aktīvie ne-romu NVO eksperti, kas darbojas romu integrācijas jomā. Padome savās sēdēs regulāri apspriež aktuālos jautājumus par romu integrāciju un sociālo iekļaušanu, kas ir ietverti politikas pasākumu kopumā, izvērtē projektu un pētījumu sasniegtos rezultātus, sniedz rekomendācijas politikas efektivizācijai. Lai veicinātu regulāru informācijas un pieredzes apmaiņu starp pašvaldību speciālistiem romu integrācijas jautājumos un attīstītu sadarbību starp atbildīgo ministriju un romu kopienu efektīvākai integrācijas politikas īstenošanai, KM 2014. gadā izveidoja Reģionālo ekspertu tīklu romu integrācijas jautājumos, kurā darbojas deleģētie pārstāvji no 19 Latvijas pašvaldībām. Izmantojot reģionālo ekspertu tīklu, regulāri ir īstenoti sadarbības pasākumi, piemēram, organizētas reģionālo ekspertu tikšanās pašvaldībās un labās prakses vizītes vietējā līmenī un veikta aktīvo romu pārstāvju konsultēšana, t.sk. par interešu aizstāvības jautājumiem."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projekta 155.rindkopa.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"Latvijas Republikas kārtējais ziņojums par Apvienoto Nāciju Organizācijas 1966.gada Starptautiskā pakta par pilsoniskajām un politiskajām tiesībām ieviešanu Latvijas Republikā 2014.-2019.gadā" sadaļas "Pakta 26. un 27.pants" apakšsadaļas "Romu integrācija sabiedrībā –21.rekomendācija" 154.punktu.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Kā īpašs atbalsta pasākums romu integrācijas politikas koordinācijas jomā ir jāizceļ projekts „Latvijas romu platforma”, kas tiek īstenots ES programmas „Tiesības, vienlīdzība un pilsonība” ietvaros ar mērķi veicināt dialogu starp romu kopienu un pilsoniskās sabiedrības organizācijām un attīstīt efektīvu romu integrācijas politikas koordinācijas procesu nacionālajā līmenī.[1] Kopš 2016. gada projekta pasākumos iesaistījušies vairāk nekā 930 dalībnieku (16. pielikuma 3. diagramma). Kopš 2017. gada piecās Latvijas pašvaldībās kā starpnieki darbojas romu mediatori, palīdzot veicināt dialogu un sadarbību starp sociāli nelabvēlīgajām romu ģimenēm un pašvaldības iestādēm un valsts aģentūru speciālistiem izglītībā, sociālajos jautājumos, nodarbinātībā, bērnu tiesībās u.c. Mediatori pārstāv romu kopienu, ir motivēti aktīvi sadarboties ar pašvaldības iestādēm un palīdzēt romiem uzlabot savu sociālo stāvokli un vairāk iesaistīties pilsētas vai novada atbalsta un kultūras aktivitātēs. Mediatori nodrošina romu ģimenēm „uzticības personas” atbalstu, savlaicīgi reaģējot uz problemātiskām situācijām, lai kopā ar pašvaldības speciālistiem rastu tām piemērotus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Detalizēta informācija par projekta „Latvijas romu platforma” īstenotājiem pasākumiem un rezultātiem ir pieejama KM mājas lapā: https://www.km.gov.lv/lv/integracija-un-sabiedriba/romi/projekti-un-pasakumi/latvijas-romu-platforma."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projekta 157.rindkopa.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"Latvijas Republikas kārtējais ziņojums par Apvienoto Nāciju Organizācijas 1966.gada Starptautiskā pakta par pilsoniskajām un politiskajām tiesībām ieviešanu Latvijas Republikā 2014.-2019.gadā" sadaļas "Pakta 26. un 27.pants" apakšsadaļas "Romu integrācija sabiedrībā –21.rekomendācija" 155.punktu.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Ar mērķi veicināt sabiedrības saliedētību un kultūras dialogu un mainīt sabiedrības aizspriedumaino attieksmi pret romiem regulāri tiek īstenoti sabiedrības izpratnes veicināšanas pasākumi par romu kultūru, vēsturi un sociālo situāciju. Kopš 2015. gada biedrība „Romu Kultūras centrs” organizē piemiņas un informatīvos pasākumus par Otrā pasaules kara romu genocīda upuriem, starptautiskos romu kultūras koncertus „Roma World” un iespēju robežās sniedz individuālās konsultācijas par romu tautības pārstāvju tiesību aizstāvību. Valsts pārvaldes uzdevumu ietvaros ir nodrošināts atbalsts Romu vēstures un mākslas muzeja darbības nodrošināšanai. 2016. un 2017. gadā biedrība „Romu Kultūras Centrs” ES programmas „Eiropa pilsoņiem” (2014-2020) ietvaros īstenoja apjomīgus projektus par romu genocīda upuru piemiņu, atcerēšanos un godināšanu."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projekta 158.rindkopa.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informatīvā ziņojuma "Latvijas Republikas kārtējais ziņojums par Apvienoto Nāciju Organizācijas 1966.gada Starptautiskā pakta par pilsoniskajām un politiskajām tiesībām ieviešanu Latvijas Republikā 2014.-2019.gadā" sadaļas "Pakta 26. un 27.pants" apakšsadaļas "Romu integrācija sabiedrībā –21.rekomendācija" 156.punktu.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Uz romu mērķa grupu ir attiecināmi arī citi atbalsta pasākumi izglītības, nodarbinātības un veselības aprūpes jomā, kas īstenoti ES struktūrfondu un Kohēzijas fonda 2014.–2020. gada plānošanas perioda darbības programmas „Izaugsme un nodarbinātība” ietvaros. Etniskā minoritāte „romi” ir iekļauta starp sociālās atstumtības riskam pakļautajām iedzīvotāju grupām, uz kurām attiecas MK noteikumi Nr.173 „Noteikumi par sociālās atstumtības riskam pakļauto iedzīvotāju grupām un sociālā uzņēmuma statusa piešķiršanas, reģistrēšanas un uzraudzības kārtību”. Lai veicinātu dialogu starp romu ģimenēm un pilsoniskās sabiedrības organizācijām un attīstītu efektīvu romu integrācijas politikas koordinācijas procesu nacionālajā līmenī, Kultūras ministrija ar Eiropas Komisijas atbalstu kopš 2016.gada īsteno projektu „Latvijas romu platforma”. Projekta ietvaros ir īstenoti pasākumi, lai mazinātu antičigānismu sabiedrībā, popularizētu romu pozitīvo tēlu un kultūru, kā arī attīstītu dialogu starp romu kopienas un valsts un pašvaldību institūciju pārstāvjiem."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projketa 159.rindkopa.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informatīvā ziņojuma "Latvijas Republikas kārtējais ziņojums par Apvienoto Nāciju Organizācijas 1966.gada Starptautiskā pakta par pilsoniskajām un politiskajām tiesībām ieviešanu Latvijas Republikā 2014.-2019.gadā" sadaļas "Pakta 26. un 27.pants" apakšsadaļas "Romu integrācija sabiedrībā –21.rekomendācija" 159.punktu.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 KM vadībā 2011. gadā izstrādāts nacionālās politikas pasākumu kopums romu integrācijai, kas ir iekļauts „Nacionālās identitātes, pilsoniskās sabiedrības un integrācijas politikas pamatnostādnēs 2012.-2018.gadam”, bet 2018. gadā MK apstiprināja “Nacionālās identitātes, pilsoniskās sabiedrības un integrācijas politikas īstenošanas plānu 2019.-2020.gadam”. Abos dokumentos ir iekļauti pasākumi romu bērnu izglītības veicināšanai, attīstot romu skolotāju palīgu praksi pirmskolu un vispārizglītojošajās iestādēs un Latvijas romu integrāciju un līdzdalību veicinošas aktivitātes, sekmējot sadarbību starp romu kopienu un pašvaldību/-ām un/vai sociālajiem partneriem un attīstot starpkultūru dialogu. 2016./2017. mācību gadā IZM veica romu skolēnu mācību sasniegumu monitoringu, apkopojot datus par romu skolēniem, kas apgūst vispārējās pirmsskolas, pamatskolas, vidējās un profesionālās izglītības programmas, nav ieguvuši dokumentu par obligātās pamatizglītības apguvi un kuriem ar izglītības iestādes pedagoģiskās padomes ieteikumu ir noteikti atbalsta pasākumi mācību sasniegumu uzlabošanai (skatīt 16.pielikuma 17.tabulu). Apkopoti dati par romu tautības skolotāja palīgiem, kuri strādā vispārējās izglītības iestādēs. Nemainīgs rādītājs pēdējo 3 gadu laikā ir attiecībā uz izglītības iestāžu piedāvātājiem atbalsta pasākumiem, kas sniegti romu tautības skolēniem mācību priekšmetu “Matemātika”, “Dabaszinības”, “Svešvalodas”, “Latviešu valoda” utt. apguvei. Latvijā nav segregētu klašu. 42% romu tautības skolēnu mācās izglītības programmās, kas īstenotas latviešu valodā, 50% – programmās, kas īstenotas mazākumtautības valodā, un 8% – programmās, kas īstenotas citā valodā. Kopš 2015. gada KM sadarbībā ar biedrību „Latvijas Cilvēktiesību centrs” īsteno dažādas aktivitātes, kas vērstas uz sabiedrības iecietības veicināšanu un negatīvo stereotipu mazināšanu pret romiem, kā arī romu kultūras popularizēšanu."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projekta 162.rindkopa.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informatīvā ziņojuma "Latvijas Republikas kārtējais ziņojums par Apvienoto Nāciju Organizācijas 1966.gada Starptautiskā pakta par pilsoniskajām un politiskajām tiesībām ieviešanu Latvijas Republikā 2014.-2019.gadā" sadaļas "Pakta 26. un 27.pants" apakšsadaļas "Mazākumtautību līdzdalība un to veicinošie pasākumi –21.rekomendācija" 161.punktu.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Lielākās mazākumtautību kopienas apvienojušās biedrībās un veido aktīvu iedzīvotāju daļu, kas rūpējas par savas kultūras saglabāšanu un attīstību. Pētījums par mazākumtautību līdzdalību[1] liecina, ka biedrībās iesaistītie mazākumtautību pārstāvji ir labāk informēti un lojālāki Latvijas valstij. Atbalsts mazākumtautību biedrībām ir ļāvis nozīmīgi uzlabot piederības rādītājus. Salīdzinot ar 2015. gadu, ievērojami palielinājusies mazākumtautību pārstāvju piederības sajūta Latvijai. Saskaņā ar 2017. gadā veikto pētījumu 84% mazākumtautību pārstāvju jūtas cieši vai ļoti cieši saistīti ar Latviju. Mazākumtautību atbalstam ik gadu nodrošināti vismaz 20% no KM valsts budžeta līdzekļiem, kas paredzēti sabiedrības integrācijai. 2012.-2018.gadā dažāda veida mazākumtautību pasākumos iesaistījušies ap 30000 dalībnieku. Regulāri atbalstīti dažādi pasākumi, kas veicina mazākumtautību līdzdalību pilsoniskās sabiedrības attīstības procesā, kultūras savpatnības saglabāšanu un starpkultūru dialogu. Laika periodā no 2013.-2018.gadam Kultūras ministrija regulāri organizēja mazākumtautību forumus, kuros katru gadu piedalījās vismaz 200 mazākumtautību biedrību pārstāvju. 2018.gada 22. un 23.novembrī Rīgā norisinājās VI Mazākumtautību forums „No integrācijas uz saliedētu sabiedrību”. Īstenota programma „Latvijas kultūras vēstnieki” un skolēnu un jauniešu līdzdalības un sadarbības programma „Eiropas pēdas Latvijā”, kurā ik gadu piedalās ap 1000 jauniešu no mazākumtautību skolām. Regulāri atbalstīti Itas Kozakevičas Latvijas Nacionālo kultūras biedrību asociācijas mazākumtautību kultūras pasākumi, festivāls „Vienoti dažādībā”. Kultūras ministrija no 2014.-2019.gadam īstenoja „NVO reģionu programmu”, kas aptvēra visus Latvijas reģionus. Tās ietvaros noteiktu finansējumu varēja saņemt biedrības un nodibinājumi, kas īsteno projektus pilsoniskās sabiedrības veicināšanas un mazākumtautību biedrību un nodibinājumu atbalstam. ,,NVO reģionu programmas” ietvaros ir nodrošinātas mācības mazākumtautību, tai skaitā romu, biedrībām un nodibinājumiem par pilsonisko līdzdalību un starpkultūru dialogu, kā arī par kapacitātes stiprināšanu, nodrošināti starpkultūru dialoga, tai skaitā romu, pasākumi dažādām mērķauditorijām. . Tāpat atbalstīta mazākumtautību māksliniecisko kolektīvu dalība Starptautiskajā Folkloras festivālā „Baltica 2018” un Vispārējos latviešu Dziesmu un deju svētkos. Nodrošināts atbalsts mazākumtautību nemateriālā kultūras mantojuma saglabāšanai, piemēram, profesionālās pilnveides kursi, semināri, nometnes un radošās dienas mazākumtautību kultūras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Nodibinājums „Baltijas Sociālo zinātņu institūts” (2015.) Mazākumtautību līdzdalība demokrātiskajos procesos Latvijā, Rīgā."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projekta 164.rindkopa.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Ziņojuma projekta 2.pielikuma 5., 6., 8., 9., 10., 11., un 12.tabulu ar informāciju par 2018. un 2019.gadā nodarbināto skaitu pēc dzimuma.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pielikuma 5.tabulu (Iekšlietu nozarē nodarbināto skaits pēc dzimuma)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nodarbināto skaits 2018.gadā - 13740 no kuriem  8567 (62,35%) vīrieši un 5173 (37,65%) sievietes , savukārt kopējais nodarbināto īpatsvars vadošajos amatos 2018.gadā - 995 no kuriem 665 (66,84%) vīrieši un  330 (33,16%) sievietes.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nodarbināto skaits 2019.gadā - 13326 no kuriem  8159 (61,22%) vīrieši un 5167 (38,78%) sievietes , savukārt kopējais nodarbināto īpatsvars vadošajos amatos 2019.gadā - 976 no kuriem 651 (66,70%) vīrieši un  325 (33,30%) sievietes.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pielikuma 6.tabulu (Iekšlietu ministrija)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nodarbināto skaits 2018.gadā - 134 no kuriem vīrieši 32 (23,88%) un sievietes 102 (76,12), savukārt kopējais nodarbināto īpatsvars vadošajos amatos 2018.gadā - 26 no kuriem 6 (23,08%) vīrieši un  20 (76,93%) sievietes.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nodarbināto skaits 2019.gadā - 134 no kuriem  34 (25,38%) vīrieši un  100 (74,63%) sievietes, savukārt kopējais nodarbināto īpatsvars vadošajos amatos 2019.gadā - 25 no kuriem  5 (20,00%) vīrieši un 20 (80,00%) sievietes.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pielikuma 8.tabulu (Iekšlietu ministrijas Informācijas centrs)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nodarbināto skaits 2018.gadā -291 no kuriem vīrieši 174 (59,80%) un sievietes 117 (40,20%), savukārt kopējais nodarbināto īpatsvars vadošajos amatos 2018.gadā - 29 no kuriem 18 (62,07%) vīrieši un  11 (37,93%) sievietes.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nodarbināto skaits 2019.gadā - 291 no kuriem  156 (59,77%) vīrieši un  105 (40,23%) sievietes, savukārt kopējais nodarbināto īpatsvars vadošajos amatos 2019.gadā - 28 no kuriem  19 (67,86%) vīrieši un 9 (32,15%) sievietes.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pielikuma 9.tabulu (Pilsonības un migrācijas lietu pārvaldē)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nodarbināto skaits 2018.gadā -619 no kuriem vīrieši 67 (10,83%) un sievietes 552 (89,17%), savukārt kopējais nodarbināto īpatsvars vadošajos amatos 2018.gadā - 53 no kuriem 9 (16,99%) vīrieši un  44 (83,01%) sievietes.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nodarbināto skaits 2019.gadā - 616 no kuriem  69 (11,21%) vīrieši un  547 (88,79%) sievietes, savukārt kopējais nodarbināto īpatsvars vadošajos amatos 2019.gadā - 53 no kuriem  10 (18,87%) vīrieši un 43 (81,13%) sievietes.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pielikuma 10.tabulu (Valsts ugunsdzēsības un glābšanas dienests)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nodarbināto skaits 2018.gadā -3049 no kuriem vīrieši 2734 (89,67%) un sievietes 315 (10,33%), savukārt kopējais nodarbināto īpatsvars vadošajos amatos 2018.gadā - 162 no kuriem 128 (79,02%) vīrieši un  34 (20,98%) sievietes.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nodarbināto skaits 2019.gadā - 2987 no kuriem  2664 (89,19%) vīrieši un  323 (10,81%) sievietes, savukārt kopējais nodarbināto īpatsvars vadošajos amatos 2019.gadā - 165 no kuriem  129 (78,19%) vīrieši un 36 (21,81%) sievietes.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pielikuma 11.tabulu (Nodrošinājuma valsts aģentūrā)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nodarbināto skaits 2018.gadā -383 no kuriem vīrieši 192 (50,13%) un sievietes 191 (49,87%), savukārt kopējais nodarbināto īpatsvars vadošajos amatos 2018.gadā - 26 no kuriem 13 (50,00%) vīrieši un  13 (50,00%) sievietes.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nodarbināto skaits 2019.gadā - 371 no kuriem  186 (50,14%) vīrieši un  185 (49,86%) sievietes, savukārt kopējais nodarbināto īpatsvars vadošajos amatos 2019.gadā - 27 no kuriem  14 (51,86%) vīrieši un 13 (48,14%) sievietes.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pielikuma 12.tabulu (Valsts robežsardzē)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nodarbināto skaits 2018.gadā -2566 no kuriem vīrieši 1546 (60,25%) un sievietes 1020 (39,75%), savukārt kopējais nodarbināto īpatsvars vadošajos amatos 2018.gadā - 183 no kuriem 145 (79,24%) vīrieši un  38 (20,76%) sievietes.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nodarbināto skaits 2019.gadā - 2526 no kuriem  1505 (59,58%) vīrieši un  1021 (40,42%) sievietes, savukārt kopējais nodarbināto īpatsvars vadošajos amatos 2019.gadā - 176 no kuriem  141 (80,12%) vīrieši un 35 (19,88%) sievietes.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projekta 2.pielikuma 5.-6. un 8.-12.tabula.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22-TA-157</w:t>
    </w:r>
    <w:r>
      <w:br/>
    </w:r>
    <w:r w:rsidR="00000000" w:rsidRPr="00000000" w:rsidDel="00000000">
      <w:rPr>
        <w:rtl w:val="0"/>
      </w:rPr>
      <w:t xml:space="preserve">11.02.2022. 10.57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22-TA-157</w:t>
    </w:r>
    <w:r>
      <w:br/>
    </w:r>
    <w:r w:rsidR="00000000" w:rsidRPr="00000000" w:rsidDel="00000000">
      <w:rPr>
        <w:rtl w:val="0"/>
      </w:rPr>
      <w:t xml:space="preserve">11.02.2022. 10.57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Izziņa_22-TA-157.docx</dc:title>
</cp:coreProperties>
</file>

<file path=docProps/custom.xml><?xml version="1.0" encoding="utf-8"?>
<Properties xmlns="http://schemas.openxmlformats.org/officeDocument/2006/custom-properties" xmlns:vt="http://schemas.openxmlformats.org/officeDocument/2006/docPropsVTypes"/>
</file>