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03B32BB" w14:textId="77777777" w:rsidR="0046716C" w:rsidRDefault="00091800">
      <w:pPr>
        <w:spacing w:after="240"/>
        <w:jc w:val="center"/>
        <w:rPr>
          <w:b/>
        </w:rPr>
      </w:pPr>
      <w:r>
        <w:rPr>
          <w:b/>
        </w:rPr>
        <w:t>Sabiedrības iebildumi un priekšlikumi</w:t>
      </w:r>
    </w:p>
    <w:tbl>
      <w:tblPr>
        <w:tblStyle w:val="a"/>
        <w:tblW w:w="14567"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1938"/>
        <w:gridCol w:w="5953"/>
        <w:gridCol w:w="1770"/>
        <w:gridCol w:w="4156"/>
      </w:tblGrid>
      <w:tr w:rsidR="00F74345" w:rsidRPr="00F74345" w14:paraId="758D76E4" w14:textId="77777777" w:rsidTr="00F14262">
        <w:tc>
          <w:tcPr>
            <w:tcW w:w="750" w:type="dxa"/>
            <w:shd w:val="clear" w:color="auto" w:fill="FFFFFF"/>
            <w:noWrap/>
            <w:tcMar>
              <w:top w:w="75" w:type="dxa"/>
              <w:left w:w="75" w:type="dxa"/>
              <w:bottom w:w="75" w:type="dxa"/>
              <w:right w:w="75" w:type="dxa"/>
            </w:tcMar>
            <w:vAlign w:val="center"/>
          </w:tcPr>
          <w:p w14:paraId="3A15F398" w14:textId="77777777" w:rsidR="0046716C" w:rsidRPr="00F74345" w:rsidRDefault="00091800">
            <w:pPr>
              <w:spacing w:line="240" w:lineRule="auto"/>
              <w:jc w:val="center"/>
              <w:rPr>
                <w:color w:val="auto"/>
              </w:rPr>
            </w:pPr>
            <w:proofErr w:type="spellStart"/>
            <w:r w:rsidRPr="00F74345">
              <w:rPr>
                <w:b/>
                <w:color w:val="auto"/>
              </w:rPr>
              <w:t>Nr.p.k</w:t>
            </w:r>
            <w:proofErr w:type="spellEnd"/>
            <w:r w:rsidRPr="00F74345">
              <w:rPr>
                <w:b/>
                <w:color w:val="auto"/>
              </w:rPr>
              <w:t>.</w:t>
            </w:r>
          </w:p>
        </w:tc>
        <w:tc>
          <w:tcPr>
            <w:tcW w:w="1938" w:type="dxa"/>
            <w:shd w:val="clear" w:color="auto" w:fill="FFFFFF"/>
            <w:noWrap/>
            <w:tcMar>
              <w:top w:w="75" w:type="dxa"/>
              <w:left w:w="75" w:type="dxa"/>
              <w:bottom w:w="75" w:type="dxa"/>
              <w:right w:w="75" w:type="dxa"/>
            </w:tcMar>
            <w:vAlign w:val="center"/>
          </w:tcPr>
          <w:p w14:paraId="772EE8E1" w14:textId="77777777" w:rsidR="0046716C" w:rsidRPr="00F74345" w:rsidRDefault="00091800">
            <w:pPr>
              <w:spacing w:line="240" w:lineRule="auto"/>
              <w:jc w:val="center"/>
              <w:rPr>
                <w:color w:val="auto"/>
              </w:rPr>
            </w:pPr>
            <w:r w:rsidRPr="00F74345">
              <w:rPr>
                <w:b/>
                <w:color w:val="auto"/>
              </w:rPr>
              <w:t>Iebilduma / priekšlikuma iesniedzējs</w:t>
            </w:r>
          </w:p>
        </w:tc>
        <w:tc>
          <w:tcPr>
            <w:tcW w:w="5953" w:type="dxa"/>
            <w:shd w:val="clear" w:color="auto" w:fill="FFFFFF"/>
            <w:noWrap/>
            <w:tcMar>
              <w:top w:w="75" w:type="dxa"/>
              <w:left w:w="75" w:type="dxa"/>
              <w:bottom w:w="75" w:type="dxa"/>
              <w:right w:w="75" w:type="dxa"/>
            </w:tcMar>
            <w:vAlign w:val="center"/>
          </w:tcPr>
          <w:p w14:paraId="5DA8F7B2" w14:textId="77777777" w:rsidR="0046716C" w:rsidRPr="00F74345" w:rsidRDefault="00091800">
            <w:pPr>
              <w:spacing w:line="240" w:lineRule="auto"/>
              <w:jc w:val="center"/>
              <w:rPr>
                <w:color w:val="auto"/>
              </w:rPr>
            </w:pPr>
            <w:r w:rsidRPr="00F74345">
              <w:rPr>
                <w:b/>
                <w:color w:val="auto"/>
              </w:rPr>
              <w:t>Iesniegtā iebilduma / priekšlikuma būtība</w:t>
            </w:r>
          </w:p>
        </w:tc>
        <w:tc>
          <w:tcPr>
            <w:tcW w:w="1770" w:type="dxa"/>
            <w:shd w:val="clear" w:color="auto" w:fill="FFFFFF"/>
            <w:noWrap/>
            <w:tcMar>
              <w:top w:w="75" w:type="dxa"/>
              <w:left w:w="75" w:type="dxa"/>
              <w:bottom w:w="75" w:type="dxa"/>
              <w:right w:w="75" w:type="dxa"/>
            </w:tcMar>
            <w:vAlign w:val="center"/>
          </w:tcPr>
          <w:p w14:paraId="36336086" w14:textId="77777777" w:rsidR="0046716C" w:rsidRPr="00F74345" w:rsidRDefault="00091800">
            <w:pPr>
              <w:spacing w:line="240" w:lineRule="auto"/>
              <w:jc w:val="center"/>
              <w:rPr>
                <w:color w:val="auto"/>
              </w:rPr>
            </w:pPr>
            <w:r w:rsidRPr="00F74345">
              <w:rPr>
                <w:b/>
                <w:color w:val="auto"/>
              </w:rPr>
              <w:t>Ņemts vērā / nav ņemts vērā</w:t>
            </w:r>
          </w:p>
        </w:tc>
        <w:tc>
          <w:tcPr>
            <w:tcW w:w="4156" w:type="dxa"/>
            <w:shd w:val="clear" w:color="auto" w:fill="FFFFFF"/>
            <w:noWrap/>
            <w:tcMar>
              <w:top w:w="75" w:type="dxa"/>
              <w:left w:w="75" w:type="dxa"/>
              <w:bottom w:w="75" w:type="dxa"/>
              <w:right w:w="75" w:type="dxa"/>
            </w:tcMar>
            <w:vAlign w:val="center"/>
          </w:tcPr>
          <w:p w14:paraId="6C0ACDFE" w14:textId="77777777" w:rsidR="0046716C" w:rsidRPr="00F74345" w:rsidRDefault="00091800">
            <w:pPr>
              <w:spacing w:line="240" w:lineRule="auto"/>
              <w:jc w:val="center"/>
              <w:rPr>
                <w:color w:val="auto"/>
              </w:rPr>
            </w:pPr>
            <w:r w:rsidRPr="00F74345">
              <w:rPr>
                <w:b/>
                <w:color w:val="auto"/>
              </w:rPr>
              <w:t>Pamatojums, ja iebildums / priekšlikums nav ņemts vērā</w:t>
            </w:r>
          </w:p>
        </w:tc>
      </w:tr>
      <w:tr w:rsidR="00F74345" w:rsidRPr="00F74345" w14:paraId="5DAA6913" w14:textId="77777777" w:rsidTr="002D07D5">
        <w:tc>
          <w:tcPr>
            <w:tcW w:w="750" w:type="dxa"/>
            <w:shd w:val="clear" w:color="auto" w:fill="FFFFFF"/>
            <w:noWrap/>
            <w:tcMar>
              <w:top w:w="75" w:type="dxa"/>
              <w:left w:w="75" w:type="dxa"/>
              <w:bottom w:w="75" w:type="dxa"/>
              <w:right w:w="75" w:type="dxa"/>
            </w:tcMar>
            <w:vAlign w:val="center"/>
          </w:tcPr>
          <w:p w14:paraId="4F16FF24" w14:textId="77777777" w:rsidR="0046716C" w:rsidRPr="00F74345" w:rsidRDefault="00091800">
            <w:pPr>
              <w:spacing w:line="240" w:lineRule="auto"/>
              <w:jc w:val="center"/>
              <w:rPr>
                <w:color w:val="auto"/>
              </w:rPr>
            </w:pPr>
            <w:r w:rsidRPr="00F74345">
              <w:rPr>
                <w:color w:val="auto"/>
              </w:rPr>
              <w:t>1.</w:t>
            </w:r>
          </w:p>
        </w:tc>
        <w:tc>
          <w:tcPr>
            <w:tcW w:w="1938" w:type="dxa"/>
            <w:shd w:val="clear" w:color="auto" w:fill="FFFFFF"/>
            <w:noWrap/>
            <w:tcMar>
              <w:top w:w="75" w:type="dxa"/>
              <w:left w:w="75" w:type="dxa"/>
              <w:bottom w:w="75" w:type="dxa"/>
              <w:right w:w="75" w:type="dxa"/>
            </w:tcMar>
            <w:vAlign w:val="center"/>
          </w:tcPr>
          <w:p w14:paraId="4046DAB9" w14:textId="2A51DFAC" w:rsidR="0046716C" w:rsidRPr="00F74345" w:rsidRDefault="006B5D09">
            <w:pPr>
              <w:spacing w:line="240" w:lineRule="auto"/>
              <w:jc w:val="left"/>
              <w:rPr>
                <w:color w:val="auto"/>
              </w:rPr>
            </w:pPr>
            <w:r>
              <w:rPr>
                <w:color w:val="auto"/>
              </w:rPr>
              <w:t>Fiziska persona</w:t>
            </w:r>
          </w:p>
        </w:tc>
        <w:tc>
          <w:tcPr>
            <w:tcW w:w="5953" w:type="dxa"/>
            <w:shd w:val="clear" w:color="auto" w:fill="FFFFFF"/>
            <w:noWrap/>
            <w:tcMar>
              <w:top w:w="75" w:type="dxa"/>
              <w:left w:w="75" w:type="dxa"/>
              <w:bottom w:w="75" w:type="dxa"/>
              <w:right w:w="75" w:type="dxa"/>
            </w:tcMar>
            <w:vAlign w:val="center"/>
          </w:tcPr>
          <w:p w14:paraId="7941D274" w14:textId="5B1D15C8" w:rsidR="0046716C" w:rsidRPr="00F74345" w:rsidRDefault="00091800" w:rsidP="00F74345">
            <w:pPr>
              <w:spacing w:line="240" w:lineRule="auto"/>
              <w:rPr>
                <w:color w:val="auto"/>
              </w:rPr>
            </w:pPr>
            <w:r w:rsidRPr="00F74345">
              <w:rPr>
                <w:color w:val="auto"/>
              </w:rPr>
              <w:t>Lūgums precizēt šajā normatīvajā aktā sadaļu par "tiesībām" nēsāt īsi apgrieztus matus, tās nav tiesības, bet gan pienākums,</w:t>
            </w:r>
            <w:r w:rsidR="00AC4E5D">
              <w:rPr>
                <w:color w:val="auto"/>
              </w:rPr>
              <w:t xml:space="preserve"> </w:t>
            </w:r>
            <w:r w:rsidRPr="00F74345">
              <w:rPr>
                <w:color w:val="auto"/>
              </w:rPr>
              <w:t>tādējādi nepieciešams attiecīgajās vietās vārdus "tiesības" aizstāt ar vārdu "pienākums".</w:t>
            </w:r>
            <w:r w:rsidRPr="00F74345">
              <w:rPr>
                <w:color w:val="auto"/>
              </w:rPr>
              <w:br/>
              <w:t xml:space="preserve">Elementāra loģika, ja tās būtu tiesības, tad pamatā visiem būtu pienākums atrasties ar gariem matiem, bet ekskluzīvi varētu ar īsiem, bet </w:t>
            </w:r>
            <w:r w:rsidR="00AC4E5D" w:rsidRPr="00F74345">
              <w:rPr>
                <w:color w:val="auto"/>
              </w:rPr>
              <w:t>reāli</w:t>
            </w:r>
            <w:r w:rsidRPr="00F74345">
              <w:rPr>
                <w:color w:val="auto"/>
              </w:rPr>
              <w:t xml:space="preserve"> ir tā, ka ar gariem nedrīkst, jābūt īsiem, tas taču  ir pienākums</w:t>
            </w:r>
            <w:r w:rsidR="00AC4E5D">
              <w:rPr>
                <w:color w:val="auto"/>
              </w:rPr>
              <w:t>,</w:t>
            </w:r>
            <w:r w:rsidRPr="00F74345">
              <w:rPr>
                <w:color w:val="auto"/>
              </w:rPr>
              <w:t xml:space="preserve"> nevis tiesības.</w:t>
            </w:r>
          </w:p>
        </w:tc>
        <w:tc>
          <w:tcPr>
            <w:tcW w:w="1770" w:type="dxa"/>
            <w:shd w:val="clear" w:color="auto" w:fill="FFFFFF"/>
            <w:noWrap/>
            <w:tcMar>
              <w:top w:w="75" w:type="dxa"/>
              <w:left w:w="75" w:type="dxa"/>
              <w:bottom w:w="75" w:type="dxa"/>
              <w:right w:w="75" w:type="dxa"/>
            </w:tcMar>
            <w:vAlign w:val="center"/>
          </w:tcPr>
          <w:p w14:paraId="6D33B7E1" w14:textId="5DC303DD" w:rsidR="0046716C" w:rsidRPr="00F74345" w:rsidRDefault="00573939">
            <w:pPr>
              <w:spacing w:line="240" w:lineRule="auto"/>
              <w:jc w:val="left"/>
              <w:rPr>
                <w:color w:val="auto"/>
              </w:rPr>
            </w:pPr>
            <w:r w:rsidRPr="00F74345">
              <w:rPr>
                <w:color w:val="auto"/>
              </w:rPr>
              <w:t xml:space="preserve">Nav </w:t>
            </w:r>
            <w:r w:rsidR="00A372FA" w:rsidRPr="00F74345">
              <w:rPr>
                <w:color w:val="auto"/>
              </w:rPr>
              <w:t>ņemts vērā</w:t>
            </w:r>
          </w:p>
        </w:tc>
        <w:tc>
          <w:tcPr>
            <w:tcW w:w="4156" w:type="dxa"/>
            <w:shd w:val="clear" w:color="auto" w:fill="FFFFFF"/>
            <w:noWrap/>
            <w:tcMar>
              <w:top w:w="75" w:type="dxa"/>
              <w:left w:w="75" w:type="dxa"/>
              <w:bottom w:w="75" w:type="dxa"/>
              <w:right w:w="75" w:type="dxa"/>
            </w:tcMar>
            <w:vAlign w:val="center"/>
          </w:tcPr>
          <w:p w14:paraId="37213D9B" w14:textId="7B023AAF" w:rsidR="004F277D" w:rsidRPr="00F74345" w:rsidRDefault="000B3C4B" w:rsidP="00F74345">
            <w:pPr>
              <w:spacing w:line="240" w:lineRule="auto"/>
              <w:rPr>
                <w:color w:val="auto"/>
              </w:rPr>
            </w:pPr>
            <w:r w:rsidRPr="00F74345">
              <w:rPr>
                <w:color w:val="auto"/>
              </w:rPr>
              <w:t xml:space="preserve">Projekts jau </w:t>
            </w:r>
            <w:r w:rsidR="002E2988" w:rsidRPr="00F74345">
              <w:rPr>
                <w:color w:val="auto"/>
              </w:rPr>
              <w:t xml:space="preserve">šobrīd </w:t>
            </w:r>
            <w:r w:rsidRPr="00F74345">
              <w:rPr>
                <w:color w:val="auto"/>
              </w:rPr>
              <w:t>paredz</w:t>
            </w:r>
            <w:r w:rsidR="009610C0" w:rsidRPr="00F74345">
              <w:rPr>
                <w:color w:val="auto"/>
              </w:rPr>
              <w:t xml:space="preserve"> </w:t>
            </w:r>
            <w:r w:rsidR="00AC4E5D">
              <w:rPr>
                <w:color w:val="auto"/>
              </w:rPr>
              <w:t xml:space="preserve">normas par </w:t>
            </w:r>
            <w:r w:rsidR="009610C0" w:rsidRPr="00F74345">
              <w:rPr>
                <w:color w:val="auto"/>
              </w:rPr>
              <w:t xml:space="preserve"> īsi apgriezt</w:t>
            </w:r>
            <w:r w:rsidR="00AC4E5D">
              <w:rPr>
                <w:color w:val="auto"/>
              </w:rPr>
              <w:t>iem</w:t>
            </w:r>
            <w:r w:rsidR="009610C0" w:rsidRPr="00F74345">
              <w:rPr>
                <w:color w:val="auto"/>
              </w:rPr>
              <w:t xml:space="preserve"> mat</w:t>
            </w:r>
            <w:r w:rsidR="00AC4E5D">
              <w:rPr>
                <w:color w:val="auto"/>
              </w:rPr>
              <w:t>iem</w:t>
            </w:r>
            <w:r w:rsidR="009610C0" w:rsidRPr="00F74345">
              <w:rPr>
                <w:color w:val="auto"/>
              </w:rPr>
              <w:t xml:space="preserve"> izslēgšanu</w:t>
            </w:r>
            <w:r w:rsidR="00BA2192" w:rsidRPr="00F74345">
              <w:rPr>
                <w:color w:val="auto"/>
              </w:rPr>
              <w:t>.</w:t>
            </w:r>
            <w:r w:rsidR="009610C0" w:rsidRPr="00F74345">
              <w:rPr>
                <w:color w:val="auto"/>
              </w:rPr>
              <w:t xml:space="preserve"> </w:t>
            </w:r>
            <w:r w:rsidR="00AC4E5D">
              <w:rPr>
                <w:color w:val="auto"/>
              </w:rPr>
              <w:t>Š</w:t>
            </w:r>
            <w:r w:rsidR="00DF577E" w:rsidRPr="00F74345">
              <w:rPr>
                <w:color w:val="auto"/>
              </w:rPr>
              <w:t>obrīd Latvijas Sodu izpildes kodeks</w:t>
            </w:r>
            <w:r w:rsidR="006444AC" w:rsidRPr="00F74345">
              <w:rPr>
                <w:color w:val="auto"/>
              </w:rPr>
              <w:t>s</w:t>
            </w:r>
            <w:r w:rsidR="004F277D" w:rsidRPr="00F74345">
              <w:rPr>
                <w:color w:val="auto"/>
              </w:rPr>
              <w:t xml:space="preserve"> (turpmāk - Kodekss)</w:t>
            </w:r>
            <w:r w:rsidR="006444AC" w:rsidRPr="00F74345">
              <w:rPr>
                <w:color w:val="auto"/>
              </w:rPr>
              <w:t xml:space="preserve"> paredz</w:t>
            </w:r>
            <w:r w:rsidR="00187AD0" w:rsidRPr="00F74345">
              <w:rPr>
                <w:color w:val="auto"/>
              </w:rPr>
              <w:t xml:space="preserve"> </w:t>
            </w:r>
            <w:r w:rsidR="006444AC" w:rsidRPr="00F74345">
              <w:rPr>
                <w:color w:val="auto"/>
              </w:rPr>
              <w:t>tiesības nēsāt īsi apgrieztus matus</w:t>
            </w:r>
            <w:r w:rsidR="004F277D" w:rsidRPr="00F74345">
              <w:rPr>
                <w:color w:val="auto"/>
              </w:rPr>
              <w:t xml:space="preserve"> šādām notiesāto grupām:</w:t>
            </w:r>
          </w:p>
          <w:p w14:paraId="12180361" w14:textId="3E6DE259" w:rsidR="004F277D" w:rsidRPr="00F74345" w:rsidRDefault="004F277D" w:rsidP="00F74345">
            <w:pPr>
              <w:spacing w:line="240" w:lineRule="auto"/>
              <w:rPr>
                <w:color w:val="auto"/>
              </w:rPr>
            </w:pPr>
            <w:r w:rsidRPr="00F74345">
              <w:rPr>
                <w:color w:val="auto"/>
              </w:rPr>
              <w:t>1) notiesātie, kas izcieš sodu slēgtā cietuma soda izciešanas režīma augstākajā pakāpē (Kodeksa 50.</w:t>
            </w:r>
            <w:r w:rsidRPr="00F74345">
              <w:rPr>
                <w:color w:val="auto"/>
                <w:vertAlign w:val="superscript"/>
              </w:rPr>
              <w:t>4</w:t>
            </w:r>
            <w:r w:rsidRPr="00F74345">
              <w:rPr>
                <w:color w:val="auto"/>
              </w:rPr>
              <w:t>panta septītās daļas 8.punkts);</w:t>
            </w:r>
          </w:p>
          <w:p w14:paraId="18914BD2" w14:textId="06DE855F" w:rsidR="004F277D" w:rsidRPr="00F74345" w:rsidRDefault="004F277D" w:rsidP="00F74345">
            <w:pPr>
              <w:spacing w:line="240" w:lineRule="auto"/>
              <w:rPr>
                <w:color w:val="auto"/>
              </w:rPr>
            </w:pPr>
            <w:r w:rsidRPr="00F74345">
              <w:rPr>
                <w:color w:val="auto"/>
              </w:rPr>
              <w:t xml:space="preserve">2) </w:t>
            </w:r>
            <w:r w:rsidR="00934B38" w:rsidRPr="00F74345">
              <w:rPr>
                <w:color w:val="auto"/>
              </w:rPr>
              <w:t>notiesātie, kas izcieš sodu</w:t>
            </w:r>
            <w:r w:rsidR="00440610" w:rsidRPr="00F74345">
              <w:rPr>
                <w:color w:val="auto"/>
              </w:rPr>
              <w:t xml:space="preserve"> daļēji</w:t>
            </w:r>
            <w:r w:rsidR="00934B38" w:rsidRPr="00F74345">
              <w:rPr>
                <w:color w:val="auto"/>
              </w:rPr>
              <w:t xml:space="preserve"> slēgtā cietuma soda izciešanas režīma augstākajā pakāpē (Kodeksa 50.</w:t>
            </w:r>
            <w:r w:rsidR="00440610" w:rsidRPr="00F74345">
              <w:rPr>
                <w:color w:val="auto"/>
                <w:vertAlign w:val="superscript"/>
              </w:rPr>
              <w:t>5</w:t>
            </w:r>
            <w:r w:rsidR="00934B38" w:rsidRPr="00F74345">
              <w:rPr>
                <w:color w:val="auto"/>
              </w:rPr>
              <w:t xml:space="preserve">panta septītās daļas </w:t>
            </w:r>
            <w:r w:rsidR="00440610" w:rsidRPr="00F74345">
              <w:rPr>
                <w:color w:val="auto"/>
              </w:rPr>
              <w:t>4</w:t>
            </w:r>
            <w:r w:rsidR="00934B38" w:rsidRPr="00F74345">
              <w:rPr>
                <w:color w:val="auto"/>
              </w:rPr>
              <w:t>.punkts);</w:t>
            </w:r>
          </w:p>
          <w:p w14:paraId="21AF4735" w14:textId="481D12D2" w:rsidR="00440610" w:rsidRPr="00F74345" w:rsidRDefault="00440610" w:rsidP="00F74345">
            <w:pPr>
              <w:spacing w:line="240" w:lineRule="auto"/>
              <w:rPr>
                <w:color w:val="auto"/>
              </w:rPr>
            </w:pPr>
            <w:r w:rsidRPr="00F74345">
              <w:rPr>
                <w:color w:val="auto"/>
              </w:rPr>
              <w:t xml:space="preserve">3) uz mūžu notiesātie, kas izcieš sodu </w:t>
            </w:r>
            <w:r w:rsidR="00E27B2C" w:rsidRPr="00F74345">
              <w:rPr>
                <w:color w:val="auto"/>
              </w:rPr>
              <w:t xml:space="preserve">atsevišķās nodaļas soda izciešanas režīma augstākajā </w:t>
            </w:r>
            <w:r w:rsidR="00A514BB" w:rsidRPr="00F74345">
              <w:rPr>
                <w:color w:val="auto"/>
              </w:rPr>
              <w:t xml:space="preserve">un zemākajā </w:t>
            </w:r>
            <w:r w:rsidR="00E27B2C" w:rsidRPr="00F74345">
              <w:rPr>
                <w:color w:val="auto"/>
              </w:rPr>
              <w:t>pakāpē (Kodeksa 50.</w:t>
            </w:r>
            <w:r w:rsidR="00E27B2C" w:rsidRPr="00F74345">
              <w:rPr>
                <w:color w:val="auto"/>
                <w:vertAlign w:val="superscript"/>
              </w:rPr>
              <w:t>8</w:t>
            </w:r>
            <w:r w:rsidR="00E27B2C" w:rsidRPr="00F74345">
              <w:rPr>
                <w:color w:val="auto"/>
              </w:rPr>
              <w:t xml:space="preserve">panta </w:t>
            </w:r>
            <w:r w:rsidR="000E4CBA" w:rsidRPr="00F74345">
              <w:rPr>
                <w:color w:val="auto"/>
              </w:rPr>
              <w:t>otrās daļas</w:t>
            </w:r>
            <w:r w:rsidR="00A514BB" w:rsidRPr="00F74345">
              <w:rPr>
                <w:color w:val="auto"/>
              </w:rPr>
              <w:t xml:space="preserve"> un trešās daļas</w:t>
            </w:r>
            <w:r w:rsidR="000E4CBA" w:rsidRPr="00F74345">
              <w:rPr>
                <w:color w:val="auto"/>
              </w:rPr>
              <w:t xml:space="preserve"> 9.punkts</w:t>
            </w:r>
            <w:r w:rsidR="00E27B2C" w:rsidRPr="00F74345">
              <w:rPr>
                <w:color w:val="auto"/>
              </w:rPr>
              <w:t>)</w:t>
            </w:r>
            <w:r w:rsidR="00AC4E5D">
              <w:rPr>
                <w:color w:val="auto"/>
              </w:rPr>
              <w:t>.</w:t>
            </w:r>
          </w:p>
          <w:p w14:paraId="1C5DFFE0" w14:textId="77777777" w:rsidR="0046716C" w:rsidRPr="00F74345" w:rsidRDefault="00A372FA" w:rsidP="00F74345">
            <w:pPr>
              <w:spacing w:line="240" w:lineRule="auto"/>
              <w:rPr>
                <w:color w:val="auto"/>
              </w:rPr>
            </w:pPr>
            <w:r w:rsidRPr="00F74345">
              <w:rPr>
                <w:color w:val="auto"/>
              </w:rPr>
              <w:lastRenderedPageBreak/>
              <w:t xml:space="preserve">Projekts cita starpā paredz </w:t>
            </w:r>
            <w:r w:rsidR="0082785A" w:rsidRPr="00F74345">
              <w:rPr>
                <w:color w:val="auto"/>
              </w:rPr>
              <w:t>izteikt jaunā redakcijā 50.</w:t>
            </w:r>
            <w:r w:rsidR="0082785A" w:rsidRPr="00F74345">
              <w:rPr>
                <w:color w:val="auto"/>
                <w:vertAlign w:val="superscript"/>
              </w:rPr>
              <w:t>4</w:t>
            </w:r>
            <w:r w:rsidR="0082785A" w:rsidRPr="00F74345">
              <w:rPr>
                <w:color w:val="auto"/>
              </w:rPr>
              <w:t xml:space="preserve">pantu, tai skaitā </w:t>
            </w:r>
            <w:r w:rsidR="005450AA" w:rsidRPr="00F74345">
              <w:rPr>
                <w:color w:val="auto"/>
              </w:rPr>
              <w:t xml:space="preserve">precizējot slēgtajā cietumā esošo notiesāto tiesības un vairs neparedz tādas tiesības, kā </w:t>
            </w:r>
            <w:r w:rsidR="00DF577E" w:rsidRPr="00F74345">
              <w:rPr>
                <w:color w:val="auto"/>
              </w:rPr>
              <w:t>nēsāt īsi apgrieztus matus.</w:t>
            </w:r>
            <w:r w:rsidR="00E05103" w:rsidRPr="00F74345">
              <w:rPr>
                <w:color w:val="auto"/>
              </w:rPr>
              <w:t xml:space="preserve"> Tāpat projekts paredz izslēgt Kodeksa 50.</w:t>
            </w:r>
            <w:r w:rsidR="00E05103" w:rsidRPr="00F74345">
              <w:rPr>
                <w:color w:val="auto"/>
                <w:vertAlign w:val="superscript"/>
              </w:rPr>
              <w:t>8</w:t>
            </w:r>
            <w:r w:rsidR="00E05103" w:rsidRPr="00F74345">
              <w:rPr>
                <w:color w:val="auto"/>
              </w:rPr>
              <w:t xml:space="preserve">pantu, </w:t>
            </w:r>
            <w:r w:rsidR="000B3C4B" w:rsidRPr="00F74345">
              <w:rPr>
                <w:color w:val="auto"/>
              </w:rPr>
              <w:t>tādējādi likvidējot atsevišķās nodaļas, kurās sodu izcieta uz mūžu notiesātie.</w:t>
            </w:r>
          </w:p>
          <w:p w14:paraId="742229CC" w14:textId="6B341CF2" w:rsidR="0084525E" w:rsidRPr="00F74345" w:rsidRDefault="0084525E" w:rsidP="00F74345">
            <w:pPr>
              <w:spacing w:line="240" w:lineRule="auto"/>
              <w:rPr>
                <w:color w:val="auto"/>
              </w:rPr>
            </w:pPr>
            <w:r w:rsidRPr="00F74345">
              <w:rPr>
                <w:color w:val="auto"/>
              </w:rPr>
              <w:t xml:space="preserve">Savukārt regulējums par notiesāto higiēnas prasību, tai skaitā matu apgriešanu, </w:t>
            </w:r>
            <w:r w:rsidR="001E2C9B" w:rsidRPr="00F74345">
              <w:rPr>
                <w:color w:val="auto"/>
              </w:rPr>
              <w:t xml:space="preserve">ir ietverts Ministru kabineta 2006.gada 30.maija noteikumu Nr.423 "Brīvības atņemšanas iestādes iekšējās kārtības noteikumi" </w:t>
            </w:r>
            <w:r w:rsidR="0078219F" w:rsidRPr="00F74345">
              <w:rPr>
                <w:color w:val="auto"/>
              </w:rPr>
              <w:t>18.punktā.</w:t>
            </w:r>
            <w:r w:rsidR="00051AB2" w:rsidRPr="00F74345">
              <w:rPr>
                <w:color w:val="auto"/>
              </w:rPr>
              <w:t xml:space="preserve"> Savukārt notiesāto pienākums ievērot personisko higiēnu ir noteikts minēto noteikumu 44.3.apakšpunktā.</w:t>
            </w:r>
            <w:r w:rsidR="00C437DC" w:rsidRPr="00F74345">
              <w:rPr>
                <w:color w:val="auto"/>
              </w:rPr>
              <w:t xml:space="preserve"> Līdz ar to minēto pienākumu nav nepieciešams atkārto</w:t>
            </w:r>
            <w:r w:rsidR="00091800" w:rsidRPr="00F74345">
              <w:rPr>
                <w:color w:val="auto"/>
              </w:rPr>
              <w:t>ti ietvert</w:t>
            </w:r>
            <w:r w:rsidR="00C437DC" w:rsidRPr="00F74345">
              <w:rPr>
                <w:color w:val="auto"/>
              </w:rPr>
              <w:t xml:space="preserve"> arī Kodeksā.</w:t>
            </w:r>
          </w:p>
        </w:tc>
      </w:tr>
      <w:tr w:rsidR="00F74345" w:rsidRPr="00F74345" w14:paraId="21D35C28" w14:textId="77777777" w:rsidTr="002D07D5">
        <w:tc>
          <w:tcPr>
            <w:tcW w:w="750" w:type="dxa"/>
            <w:shd w:val="clear" w:color="auto" w:fill="FFFFFF"/>
            <w:noWrap/>
            <w:tcMar>
              <w:top w:w="75" w:type="dxa"/>
              <w:left w:w="75" w:type="dxa"/>
              <w:bottom w:w="75" w:type="dxa"/>
              <w:right w:w="75" w:type="dxa"/>
            </w:tcMar>
            <w:vAlign w:val="center"/>
          </w:tcPr>
          <w:p w14:paraId="43FB2268" w14:textId="75A73E72" w:rsidR="009610C0" w:rsidRPr="00F74345" w:rsidRDefault="009610C0">
            <w:pPr>
              <w:jc w:val="center"/>
              <w:rPr>
                <w:color w:val="auto"/>
              </w:rPr>
            </w:pPr>
            <w:r w:rsidRPr="00F74345">
              <w:rPr>
                <w:color w:val="auto"/>
              </w:rPr>
              <w:lastRenderedPageBreak/>
              <w:t>2.</w:t>
            </w:r>
          </w:p>
        </w:tc>
        <w:tc>
          <w:tcPr>
            <w:tcW w:w="1938" w:type="dxa"/>
            <w:shd w:val="clear" w:color="auto" w:fill="FFFFFF"/>
            <w:noWrap/>
            <w:tcMar>
              <w:top w:w="75" w:type="dxa"/>
              <w:left w:w="75" w:type="dxa"/>
              <w:bottom w:w="75" w:type="dxa"/>
              <w:right w:w="75" w:type="dxa"/>
            </w:tcMar>
            <w:vAlign w:val="center"/>
          </w:tcPr>
          <w:p w14:paraId="1463C4AE" w14:textId="09C309E0" w:rsidR="009610C0" w:rsidRPr="00F74345" w:rsidRDefault="006B5D09" w:rsidP="002D07D5">
            <w:pPr>
              <w:spacing w:line="240" w:lineRule="auto"/>
              <w:jc w:val="left"/>
              <w:rPr>
                <w:color w:val="auto"/>
              </w:rPr>
            </w:pPr>
            <w:r>
              <w:rPr>
                <w:color w:val="auto"/>
              </w:rPr>
              <w:t>Fiziska persona</w:t>
            </w:r>
          </w:p>
        </w:tc>
        <w:tc>
          <w:tcPr>
            <w:tcW w:w="5953" w:type="dxa"/>
            <w:shd w:val="clear" w:color="auto" w:fill="FFFFFF"/>
            <w:noWrap/>
            <w:tcMar>
              <w:top w:w="75" w:type="dxa"/>
              <w:left w:w="75" w:type="dxa"/>
              <w:bottom w:w="75" w:type="dxa"/>
              <w:right w:w="75" w:type="dxa"/>
            </w:tcMar>
            <w:vAlign w:val="center"/>
          </w:tcPr>
          <w:p w14:paraId="7FF7D580" w14:textId="77777777" w:rsidR="007933AB" w:rsidRPr="00F74345" w:rsidRDefault="00070E25" w:rsidP="00F74345">
            <w:pPr>
              <w:spacing w:line="240" w:lineRule="auto"/>
              <w:rPr>
                <w:color w:val="auto"/>
              </w:rPr>
            </w:pPr>
            <w:r w:rsidRPr="00F74345">
              <w:rPr>
                <w:color w:val="auto"/>
              </w:rPr>
              <w:t>2022.gada 7.novembra viedoklis</w:t>
            </w:r>
            <w:r w:rsidR="007933AB" w:rsidRPr="00F74345">
              <w:rPr>
                <w:color w:val="auto"/>
              </w:rPr>
              <w:t>:</w:t>
            </w:r>
          </w:p>
          <w:p w14:paraId="55F7B5F8" w14:textId="4EC37022" w:rsidR="009610C0" w:rsidRPr="00F74345" w:rsidRDefault="007933AB" w:rsidP="00F74345">
            <w:pPr>
              <w:spacing w:line="240" w:lineRule="auto"/>
              <w:rPr>
                <w:color w:val="auto"/>
              </w:rPr>
            </w:pPr>
            <w:r w:rsidRPr="00F74345">
              <w:rPr>
                <w:color w:val="auto"/>
              </w:rPr>
              <w:t xml:space="preserve"> </w:t>
            </w:r>
            <w:r w:rsidR="00AC4E5D">
              <w:rPr>
                <w:color w:val="auto"/>
              </w:rPr>
              <w:t>U</w:t>
            </w:r>
            <w:r w:rsidRPr="00F74345">
              <w:rPr>
                <w:color w:val="auto"/>
              </w:rPr>
              <w:t xml:space="preserve">zskatu, ka Likumprojekts nostāda personas, kas noziedzīgu rīcību īstenojušas, esot nepilngadīgas, bet tiek tiesātas, jau esot pilngadīgas, nevienlīdzīgākā situācijā, kurai nav leģitīms mērķis </w:t>
            </w:r>
            <w:r w:rsidRPr="00F74345">
              <w:rPr>
                <w:color w:val="auto"/>
              </w:rPr>
              <w:lastRenderedPageBreak/>
              <w:t xml:space="preserve">un ka šāda rīcība nav samērīga, ir neatbilstoša Latvijas starptautiskajām saistībām un Satversmes 91. panta pirmajam teikumam un 110. pantam." </w:t>
            </w:r>
            <w:r w:rsidR="00070E25" w:rsidRPr="00F74345">
              <w:rPr>
                <w:color w:val="auto"/>
              </w:rPr>
              <w:t>(</w:t>
            </w:r>
            <w:r w:rsidR="00070E25" w:rsidRPr="00F74345">
              <w:rPr>
                <w:i/>
                <w:iCs/>
                <w:color w:val="auto"/>
              </w:rPr>
              <w:t>Pilnu 2022.gada 7.novembra viedokļa tekstu lūdzu skatīt zemāk</w:t>
            </w:r>
            <w:r w:rsidR="00070E25" w:rsidRPr="00F74345">
              <w:rPr>
                <w:color w:val="auto"/>
              </w:rPr>
              <w:t>)</w:t>
            </w:r>
            <w:r w:rsidR="00847942" w:rsidRPr="00F74345">
              <w:rPr>
                <w:color w:val="auto"/>
              </w:rPr>
              <w:t xml:space="preserve"> </w:t>
            </w:r>
          </w:p>
          <w:p w14:paraId="535C1CF6" w14:textId="77777777" w:rsidR="00E44FC4" w:rsidRPr="00F74345" w:rsidRDefault="00E44FC4" w:rsidP="00F74345">
            <w:pPr>
              <w:spacing w:line="240" w:lineRule="auto"/>
              <w:rPr>
                <w:color w:val="auto"/>
              </w:rPr>
            </w:pPr>
          </w:p>
          <w:p w14:paraId="5D0612D1" w14:textId="77777777" w:rsidR="00E44FC4" w:rsidRPr="00F74345" w:rsidRDefault="00E44FC4" w:rsidP="00F74345">
            <w:pPr>
              <w:spacing w:line="240" w:lineRule="auto"/>
              <w:rPr>
                <w:color w:val="auto"/>
              </w:rPr>
            </w:pPr>
            <w:r w:rsidRPr="00F74345">
              <w:rPr>
                <w:color w:val="auto"/>
              </w:rPr>
              <w:t xml:space="preserve">2022.gada </w:t>
            </w:r>
            <w:r w:rsidR="00EB580C" w:rsidRPr="00F74345">
              <w:rPr>
                <w:color w:val="auto"/>
              </w:rPr>
              <w:t>12.novembra papildinātais viedoklis:</w:t>
            </w:r>
          </w:p>
          <w:p w14:paraId="74A80BCC" w14:textId="6407C905" w:rsidR="00946F96" w:rsidRPr="00F74345" w:rsidRDefault="00946F96" w:rsidP="00F74345">
            <w:pPr>
              <w:spacing w:line="240" w:lineRule="auto"/>
              <w:rPr>
                <w:color w:val="auto"/>
              </w:rPr>
            </w:pPr>
            <w:r w:rsidRPr="00F74345">
              <w:rPr>
                <w:color w:val="auto"/>
              </w:rPr>
              <w:t xml:space="preserve">Līdz ar to uzskatu, ka Likumprojekts nostāda personas, kas noziedzīgu rīcību īstenojušas, esot nepilngadīgas, bet tiek tiesātas, jau esot pilngadīgas, nevienlīdzīgākā situācijā, kurai nav leģitīms mērķis un ka šāda rīcība nav samērīga, ir neatbilstoša Latvijas starptautiskajām saistībām un Satversmes 91. panta pirmajam teikumam un 110. pantam. </w:t>
            </w:r>
          </w:p>
          <w:p w14:paraId="4224BFDC" w14:textId="31BCBC5F" w:rsidR="00946F96" w:rsidRPr="00F74345" w:rsidRDefault="00946F96" w:rsidP="00F74345">
            <w:pPr>
              <w:spacing w:line="240" w:lineRule="auto"/>
              <w:rPr>
                <w:color w:val="auto"/>
              </w:rPr>
            </w:pPr>
            <w:r w:rsidRPr="00F74345">
              <w:rPr>
                <w:color w:val="auto"/>
              </w:rPr>
              <w:t>Līdz ar to lūdzu papildināt Kodeksa 50.</w:t>
            </w:r>
            <w:r w:rsidRPr="00F74345">
              <w:rPr>
                <w:color w:val="auto"/>
                <w:vertAlign w:val="superscript"/>
              </w:rPr>
              <w:t>18</w:t>
            </w:r>
            <w:r w:rsidRPr="00F74345">
              <w:rPr>
                <w:color w:val="auto"/>
              </w:rPr>
              <w:t xml:space="preserve"> pantu ar 4.</w:t>
            </w:r>
            <w:r w:rsidRPr="00F74345">
              <w:rPr>
                <w:color w:val="auto"/>
                <w:vertAlign w:val="superscript"/>
              </w:rPr>
              <w:t>1</w:t>
            </w:r>
            <w:r w:rsidRPr="00F74345">
              <w:rPr>
                <w:color w:val="auto"/>
              </w:rPr>
              <w:t xml:space="preserve"> daļu šādā reakcijā: Par soda izciešanas režīma noteikšanu notiesātājiem, kas noziedzīgus nodarījumus izdarījuši, esot nepilngadīgi, bet uzsākuši brīvības atņemšanas soda izciešanu, esot pilngadīgi, 6 mēnešu laikā no brīvības atņemšanas soda izpildes uzsākšanas, izvērtēšanas komisija var pieņemt šādus lēmumus: </w:t>
            </w:r>
          </w:p>
          <w:p w14:paraId="56809FDB" w14:textId="1F8165A2" w:rsidR="00946F96" w:rsidRPr="00F74345" w:rsidRDefault="00946F96" w:rsidP="00F74345">
            <w:pPr>
              <w:spacing w:line="240" w:lineRule="auto"/>
              <w:rPr>
                <w:color w:val="auto"/>
              </w:rPr>
            </w:pPr>
            <w:r w:rsidRPr="00F74345">
              <w:rPr>
                <w:color w:val="auto"/>
              </w:rPr>
              <w:t xml:space="preserve">1) atstāt notiesāto slēgtā cietuma soda izciešanas režīma zemākajā pakāpē; </w:t>
            </w:r>
          </w:p>
          <w:p w14:paraId="78EF6B40" w14:textId="13F26E5D" w:rsidR="00946F96" w:rsidRPr="00F74345" w:rsidRDefault="00946F96" w:rsidP="00F74345">
            <w:pPr>
              <w:spacing w:line="240" w:lineRule="auto"/>
              <w:rPr>
                <w:color w:val="auto"/>
              </w:rPr>
            </w:pPr>
            <w:r w:rsidRPr="00F74345">
              <w:rPr>
                <w:color w:val="auto"/>
              </w:rPr>
              <w:t xml:space="preserve">2) pārvietot notiesāto no slēgtā cietuma soda izciešanas režīma zemākās pakāpes uz slēgtā cietuma soda izciešanas režīma augstāko pakāpi; </w:t>
            </w:r>
          </w:p>
          <w:p w14:paraId="527CF2F8" w14:textId="3119C30C" w:rsidR="00EB580C" w:rsidRPr="00F74345" w:rsidRDefault="00946F96" w:rsidP="00F74345">
            <w:pPr>
              <w:spacing w:line="240" w:lineRule="auto"/>
              <w:rPr>
                <w:color w:val="auto"/>
              </w:rPr>
            </w:pPr>
            <w:r w:rsidRPr="00F74345">
              <w:rPr>
                <w:color w:val="auto"/>
              </w:rPr>
              <w:lastRenderedPageBreak/>
              <w:t>3) pārvietot notiesāto no slēgtā cietuma soda izciešanas režīma zemākās pakāpes uz atklāto cietumu.</w:t>
            </w:r>
            <w:r w:rsidR="00EB580C" w:rsidRPr="00F74345">
              <w:rPr>
                <w:color w:val="auto"/>
              </w:rPr>
              <w:t>"</w:t>
            </w:r>
            <w:r w:rsidRPr="00F74345">
              <w:rPr>
                <w:color w:val="auto"/>
              </w:rPr>
              <w:t xml:space="preserve"> (</w:t>
            </w:r>
            <w:r w:rsidRPr="00F74345">
              <w:rPr>
                <w:i/>
                <w:iCs/>
                <w:color w:val="auto"/>
              </w:rPr>
              <w:t>Pilnu 2022.gada 12.novembra viedok</w:t>
            </w:r>
            <w:r w:rsidR="007522C6">
              <w:rPr>
                <w:i/>
                <w:iCs/>
                <w:color w:val="auto"/>
              </w:rPr>
              <w:t>ļa tekstu</w:t>
            </w:r>
            <w:r w:rsidRPr="00F74345">
              <w:rPr>
                <w:i/>
                <w:iCs/>
                <w:color w:val="auto"/>
              </w:rPr>
              <w:t xml:space="preserve"> lūdzu skatīt zemāk</w:t>
            </w:r>
            <w:r w:rsidRPr="00F74345">
              <w:rPr>
                <w:color w:val="auto"/>
              </w:rPr>
              <w:t>).</w:t>
            </w:r>
          </w:p>
        </w:tc>
        <w:tc>
          <w:tcPr>
            <w:tcW w:w="1770" w:type="dxa"/>
            <w:shd w:val="clear" w:color="auto" w:fill="FFFFFF"/>
            <w:noWrap/>
            <w:tcMar>
              <w:top w:w="75" w:type="dxa"/>
              <w:left w:w="75" w:type="dxa"/>
              <w:bottom w:w="75" w:type="dxa"/>
              <w:right w:w="75" w:type="dxa"/>
            </w:tcMar>
            <w:vAlign w:val="center"/>
          </w:tcPr>
          <w:p w14:paraId="1E81F0EF" w14:textId="2DB8DF98" w:rsidR="009610C0" w:rsidRPr="00F74345" w:rsidRDefault="006378D0" w:rsidP="006378D0">
            <w:pPr>
              <w:spacing w:line="240" w:lineRule="auto"/>
              <w:jc w:val="left"/>
              <w:rPr>
                <w:color w:val="auto"/>
              </w:rPr>
            </w:pPr>
            <w:r w:rsidRPr="00F74345">
              <w:rPr>
                <w:color w:val="auto"/>
              </w:rPr>
              <w:lastRenderedPageBreak/>
              <w:t>Ņemts vērā</w:t>
            </w:r>
          </w:p>
        </w:tc>
        <w:tc>
          <w:tcPr>
            <w:tcW w:w="4156" w:type="dxa"/>
            <w:shd w:val="clear" w:color="auto" w:fill="FFFFFF"/>
            <w:noWrap/>
            <w:tcMar>
              <w:top w:w="75" w:type="dxa"/>
              <w:left w:w="75" w:type="dxa"/>
              <w:bottom w:w="75" w:type="dxa"/>
              <w:right w:w="75" w:type="dxa"/>
            </w:tcMar>
            <w:vAlign w:val="center"/>
          </w:tcPr>
          <w:p w14:paraId="7F3E26E6" w14:textId="39ABC988" w:rsidR="009610C0" w:rsidRPr="00F74345" w:rsidRDefault="006378D0" w:rsidP="00F74345">
            <w:pPr>
              <w:spacing w:line="240" w:lineRule="auto"/>
              <w:rPr>
                <w:color w:val="auto"/>
              </w:rPr>
            </w:pPr>
            <w:r w:rsidRPr="00F74345">
              <w:rPr>
                <w:color w:val="auto"/>
              </w:rPr>
              <w:t xml:space="preserve">Projekta </w:t>
            </w:r>
            <w:r w:rsidR="00140564" w:rsidRPr="00F74345">
              <w:rPr>
                <w:color w:val="auto"/>
              </w:rPr>
              <w:t>2</w:t>
            </w:r>
            <w:r w:rsidR="00AB18B5">
              <w:rPr>
                <w:color w:val="auto"/>
              </w:rPr>
              <w:t>3</w:t>
            </w:r>
            <w:r w:rsidR="00140564" w:rsidRPr="00F74345">
              <w:rPr>
                <w:color w:val="auto"/>
              </w:rPr>
              <w:t>.pant</w:t>
            </w:r>
            <w:r w:rsidR="0002231C" w:rsidRPr="00F74345">
              <w:rPr>
                <w:color w:val="auto"/>
              </w:rPr>
              <w:t>ā ietvertā Kodeksa 50.</w:t>
            </w:r>
            <w:r w:rsidR="0002231C" w:rsidRPr="00F74345">
              <w:rPr>
                <w:color w:val="auto"/>
                <w:vertAlign w:val="superscript"/>
              </w:rPr>
              <w:t>4</w:t>
            </w:r>
            <w:r w:rsidR="0002231C" w:rsidRPr="00F74345">
              <w:rPr>
                <w:color w:val="auto"/>
              </w:rPr>
              <w:t>panta otrā daļa:</w:t>
            </w:r>
          </w:p>
          <w:p w14:paraId="1E58FEDB" w14:textId="59BD8C7A" w:rsidR="0002231C" w:rsidRPr="00F74345" w:rsidRDefault="0002231C" w:rsidP="00F74345">
            <w:pPr>
              <w:spacing w:line="240" w:lineRule="auto"/>
              <w:rPr>
                <w:color w:val="auto"/>
              </w:rPr>
            </w:pPr>
            <w:r w:rsidRPr="00F74345">
              <w:rPr>
                <w:color w:val="auto"/>
              </w:rPr>
              <w:t>"</w:t>
            </w:r>
            <w:r w:rsidRPr="00F74345">
              <w:rPr>
                <w:color w:val="auto"/>
                <w:u w:val="single"/>
              </w:rPr>
              <w:t>Slēgtā cietuma soda izciešanas režīma augstākajā pakāpē</w:t>
            </w:r>
            <w:r w:rsidRPr="00F74345">
              <w:rPr>
                <w:color w:val="auto"/>
              </w:rPr>
              <w:t>:</w:t>
            </w:r>
          </w:p>
          <w:p w14:paraId="5735C93C" w14:textId="77777777" w:rsidR="0002231C" w:rsidRPr="00F74345" w:rsidRDefault="0002231C" w:rsidP="00F74345">
            <w:pPr>
              <w:spacing w:line="240" w:lineRule="auto"/>
              <w:rPr>
                <w:color w:val="auto"/>
              </w:rPr>
            </w:pPr>
            <w:r w:rsidRPr="00F74345">
              <w:rPr>
                <w:color w:val="auto"/>
              </w:rPr>
              <w:lastRenderedPageBreak/>
              <w:t>1) sodu uzsāk izciest ar īslaicīgu brīvības atņemšanu notiesātie;</w:t>
            </w:r>
          </w:p>
          <w:p w14:paraId="4575ED0C" w14:textId="77777777" w:rsidR="0002231C" w:rsidRPr="00F74345" w:rsidRDefault="0002231C" w:rsidP="00F74345">
            <w:pPr>
              <w:spacing w:line="240" w:lineRule="auto"/>
              <w:rPr>
                <w:color w:val="auto"/>
              </w:rPr>
            </w:pPr>
            <w:r w:rsidRPr="00F74345">
              <w:rPr>
                <w:color w:val="auto"/>
              </w:rPr>
              <w:t>2) sodu uzsāk izciest par mazāk smaga nozieguma izdarīšanu notiesātie, izņemot 50.</w:t>
            </w:r>
            <w:r w:rsidRPr="00F74345">
              <w:rPr>
                <w:color w:val="auto"/>
                <w:vertAlign w:val="superscript"/>
              </w:rPr>
              <w:t>6</w:t>
            </w:r>
            <w:r w:rsidRPr="00F74345">
              <w:rPr>
                <w:color w:val="auto"/>
              </w:rPr>
              <w:t>panta pirmās daļas 2.punktā minētās personas;</w:t>
            </w:r>
          </w:p>
          <w:p w14:paraId="5813AE90" w14:textId="77777777" w:rsidR="0002231C" w:rsidRPr="00F74345" w:rsidRDefault="0002231C" w:rsidP="00F74345">
            <w:pPr>
              <w:spacing w:line="240" w:lineRule="auto"/>
              <w:rPr>
                <w:color w:val="auto"/>
              </w:rPr>
            </w:pPr>
            <w:r w:rsidRPr="00F74345">
              <w:rPr>
                <w:color w:val="auto"/>
              </w:rPr>
              <w:t>3) sodu uzsāk izciest notiesātie, kuriem tiesa ar brīvības atņemšanu nesaistīto neizciesto sodu ir aizstājusi ar īslaicīgu brīvības atņemšanu vai brīvības atņemšanu;</w:t>
            </w:r>
          </w:p>
          <w:p w14:paraId="061CB5EA" w14:textId="77777777" w:rsidR="0002231C" w:rsidRPr="00F74345" w:rsidRDefault="0002231C" w:rsidP="00F74345">
            <w:pPr>
              <w:spacing w:line="240" w:lineRule="auto"/>
              <w:rPr>
                <w:color w:val="auto"/>
              </w:rPr>
            </w:pPr>
            <w:r w:rsidRPr="00F74345">
              <w:rPr>
                <w:color w:val="auto"/>
              </w:rPr>
              <w:t>4) sodu turpina izciest notiesātie, kas pārvietoti no slēgtā cietuma soda izciešanas režīma zemākās pakāpes soda izciešanas režīma mīkstināšanas ietvaros;</w:t>
            </w:r>
          </w:p>
          <w:p w14:paraId="167B7F31" w14:textId="77777777" w:rsidR="0002231C" w:rsidRPr="00F74345" w:rsidRDefault="0002231C" w:rsidP="00F74345">
            <w:pPr>
              <w:spacing w:line="240" w:lineRule="auto"/>
              <w:rPr>
                <w:color w:val="auto"/>
              </w:rPr>
            </w:pPr>
            <w:r w:rsidRPr="00F74345">
              <w:rPr>
                <w:color w:val="auto"/>
              </w:rPr>
              <w:t>5) sodu turpina izciest notiesātie, kas pārvietoti no atklātajiem cietumiem soda izciešanas režīma pastiprināšanas ietvaros;</w:t>
            </w:r>
          </w:p>
          <w:p w14:paraId="1ACB4296" w14:textId="77777777" w:rsidR="0002231C" w:rsidRPr="00F74345" w:rsidRDefault="0002231C" w:rsidP="00F74345">
            <w:pPr>
              <w:spacing w:line="240" w:lineRule="auto"/>
              <w:rPr>
                <w:color w:val="auto"/>
              </w:rPr>
            </w:pPr>
            <w:r w:rsidRPr="00F74345">
              <w:rPr>
                <w:color w:val="auto"/>
              </w:rPr>
              <w:t>6) sodu turpina izciest notiesātie, kas pārvietoti no audzināšanas iestādes nepilngadīgajiem šā kodeksa 50.</w:t>
            </w:r>
            <w:r w:rsidRPr="00F74345">
              <w:rPr>
                <w:color w:val="auto"/>
                <w:vertAlign w:val="superscript"/>
              </w:rPr>
              <w:t>7</w:t>
            </w:r>
            <w:r w:rsidRPr="00F74345">
              <w:rPr>
                <w:color w:val="auto"/>
              </w:rPr>
              <w:t>panta piektajā daļā minētajos gadījumos;</w:t>
            </w:r>
          </w:p>
          <w:p w14:paraId="7A04B652" w14:textId="57A2E858" w:rsidR="0002231C" w:rsidRPr="00F74345" w:rsidRDefault="0002231C" w:rsidP="00F74345">
            <w:pPr>
              <w:spacing w:line="240" w:lineRule="auto"/>
              <w:rPr>
                <w:color w:val="auto"/>
                <w:szCs w:val="28"/>
              </w:rPr>
            </w:pPr>
            <w:r w:rsidRPr="00F74345">
              <w:rPr>
                <w:color w:val="auto"/>
                <w:szCs w:val="28"/>
              </w:rPr>
              <w:t xml:space="preserve">7) </w:t>
            </w:r>
            <w:r w:rsidRPr="00F74345">
              <w:rPr>
                <w:color w:val="auto"/>
                <w:szCs w:val="28"/>
                <w:u w:val="single"/>
              </w:rPr>
              <w:t xml:space="preserve">sodu uzsāk izciest par smaga vai sevišķi smaga nozieguma </w:t>
            </w:r>
            <w:r w:rsidRPr="00F74345">
              <w:rPr>
                <w:color w:val="auto"/>
                <w:szCs w:val="28"/>
                <w:u w:val="single"/>
              </w:rPr>
              <w:lastRenderedPageBreak/>
              <w:t>izdarīšanu notiesātas pilngadīgas personas, kuras noziedzīga nodarījuma izdarīšanas brīdī</w:t>
            </w:r>
            <w:r w:rsidRPr="00F74345">
              <w:rPr>
                <w:color w:val="auto"/>
                <w:szCs w:val="28"/>
                <w:u w:val="single"/>
                <w:shd w:val="clear" w:color="auto" w:fill="FFFFFF"/>
              </w:rPr>
              <w:t xml:space="preserve"> nebija sasniegušas astoņpadsmit gadu vecumu</w:t>
            </w:r>
            <w:r w:rsidRPr="00F74345">
              <w:rPr>
                <w:color w:val="auto"/>
                <w:szCs w:val="28"/>
              </w:rPr>
              <w:t>.</w:t>
            </w:r>
            <w:r w:rsidRPr="00F74345">
              <w:rPr>
                <w:color w:val="auto"/>
              </w:rPr>
              <w:t>"</w:t>
            </w:r>
          </w:p>
        </w:tc>
      </w:tr>
    </w:tbl>
    <w:p w14:paraId="49C51931" w14:textId="77777777" w:rsidR="00BF3C53" w:rsidRDefault="00BF3C53">
      <w:pPr>
        <w:rPr>
          <w:b/>
          <w:bCs/>
        </w:rPr>
      </w:pPr>
    </w:p>
    <w:p w14:paraId="6F4A8032" w14:textId="77777777" w:rsidR="00EE3F36" w:rsidRDefault="006B5D09">
      <w:r>
        <w:rPr>
          <w:b/>
          <w:bCs/>
        </w:rPr>
        <w:t>Fiziskās personas</w:t>
      </w:r>
      <w:r w:rsidR="00070E25" w:rsidRPr="00946F96">
        <w:rPr>
          <w:b/>
          <w:bCs/>
        </w:rPr>
        <w:t xml:space="preserve"> 2022.gada 7.novembra</w:t>
      </w:r>
      <w:r w:rsidR="00946F96">
        <w:rPr>
          <w:b/>
          <w:bCs/>
        </w:rPr>
        <w:t xml:space="preserve"> </w:t>
      </w:r>
      <w:r w:rsidR="00070E25" w:rsidRPr="00946F96">
        <w:rPr>
          <w:b/>
          <w:bCs/>
        </w:rPr>
        <w:t xml:space="preserve">viedokļa </w:t>
      </w:r>
      <w:r w:rsidR="00AC4E5D">
        <w:rPr>
          <w:b/>
          <w:bCs/>
        </w:rPr>
        <w:t>pilns</w:t>
      </w:r>
      <w:r w:rsidR="00AC4E5D" w:rsidRPr="00946F96">
        <w:rPr>
          <w:b/>
          <w:bCs/>
        </w:rPr>
        <w:t xml:space="preserve"> </w:t>
      </w:r>
      <w:r w:rsidR="00070E25" w:rsidRPr="00946F96">
        <w:rPr>
          <w:b/>
          <w:bCs/>
        </w:rPr>
        <w:t>teksts</w:t>
      </w:r>
      <w:r w:rsidR="00070E25">
        <w:t xml:space="preserve">: "Likumprojekts “Grozījumi Latvijas Sodu izpildes kodeksā”(Nr. 22-TA-3178) (turpmāk - Likumprojekts) paredz </w:t>
      </w:r>
      <w:proofErr w:type="spellStart"/>
      <w:r w:rsidR="00070E25">
        <w:t>iztekt</w:t>
      </w:r>
      <w:proofErr w:type="spellEnd"/>
      <w:r w:rsidR="00070E25">
        <w:t xml:space="preserve"> Latvijas Sodu izpildes kodeksa (turpmāk - Kodekss) 50.</w:t>
      </w:r>
      <w:r w:rsidR="00B27C17">
        <w:rPr>
          <w:vertAlign w:val="superscript"/>
        </w:rPr>
        <w:t>4</w:t>
      </w:r>
      <w:r w:rsidR="00070E25">
        <w:t xml:space="preserve"> pantu jaunā redakcijā, nosakot, ka slēgtā cietuma soda izciešanas režīma zemākajā pakāpē sodu uzsāk izciest par smaga vai sevišķi smaga nozieguma izdarīšanu ar brīvības atņemšanu virs sešiem mēnešiem notiesātas pilngadīgas personas, izņemot nepilngadīgos. Šobrīd Kodeksa 50. </w:t>
      </w:r>
      <w:r w:rsidR="002132A0">
        <w:rPr>
          <w:vertAlign w:val="superscript"/>
        </w:rPr>
        <w:t>4</w:t>
      </w:r>
      <w:r w:rsidR="00070E25">
        <w:t xml:space="preserve"> panta pirmā daļa noteic, ka slēgtajā cietumā sodu izcieš ar brīvības atņemšanu notiesātie vīrieši par smaga vai sevišķi smaga nozieguma izdarīšanu, kā arī notiesātie, kas pārvietoti no daļēji slēgtā cietuma par rupjiem vai sistemātiskiem režīma pārkāpumiem, savukārt Kodeksa 50.</w:t>
      </w:r>
      <w:r w:rsidR="002132A0">
        <w:rPr>
          <w:vertAlign w:val="superscript"/>
        </w:rPr>
        <w:t>5</w:t>
      </w:r>
      <w:r w:rsidR="00070E25">
        <w:t xml:space="preserve"> panta pirmā daļas 5. punkts paredz, ka vīrieši par smaga vai sevišķi smaga nozieguma izdarīšanu, ja viņi līdz nozieguma izdarīšanai nebija sasnieguši astoņpadsmit gadu vecumu. Tiek plānots grozīt arī Kodeksa 50.</w:t>
      </w:r>
      <w:r w:rsidR="000F024A">
        <w:rPr>
          <w:vertAlign w:val="superscript"/>
        </w:rPr>
        <w:t>7</w:t>
      </w:r>
      <w:r w:rsidR="00070E25">
        <w:t xml:space="preserve"> pantu, tā piektajā daļā paredzot, ka, ja notiesātā nepilngadīgā, kas sasniedzis astoņpadsmit gadu vecumu, uzvedība izslēdz iespēju atstāt viņu audzināšanas iestādē nepilngadīgajiem vai pirms termiņa atbrīvot no soda izciešanas, viņu ar izvērtēšanas komisijas lēmumu var pārvietot uz slēgtā cietuma soda izciešanas augstāko pakāpi, savukārt sestajā daļā - pēc šajā daļā minēto nosacījumu izpildīšanās, ja notiesātais nepretendē uz nosacītu pirmstermiņa atbrīvošanu no soda izciešanas, notiesāto ar izvērtēšanas komisijas lēmumu pārvieto uz atklāto cietumu, ja nav beidzies noteiktais soda termiņš. Līdz ar to grozījumi Kodeksā vairs neparedzēs labvēlīgāku regulējumu attiecībā pret personām, kas noziedzīgus nodarījumus veikušas, būdamas nepilngadīgas, savukārt sodu uzsāk izciest, būdamas pilngadīgas, tostarp Likumprojekts nostādīs personas, kas noziedzīgus nodarījumus, veikušas pirms astoņpadsmit gadu vecuma nevienlīdzīgā situācijā atkarībā no vecuma, kurā uzsākts izciest brīvības atņemšanas sodu. Tādēļ uzskatu par nepieciešamu iesniegt viedokli par minētajiem grozījumiem, lai raisītu diskusiju, vai konkrētie grozījumi Kodeksā veicinās vienlīdzīgu attieksmi pret notiesātajiem, kas noziedzīgus nodarījumus veikuši, būdami nepilngadīgi. </w:t>
      </w:r>
    </w:p>
    <w:p w14:paraId="5F02A519" w14:textId="22BC17A8" w:rsidR="00EE3F36" w:rsidRDefault="00070E25">
      <w:r>
        <w:t xml:space="preserve">[1] Satversmes 110. pants paredz bērna tiesību aizsardzību. Savukārt Satversmes 89. pants noteic, ka valsts atzīst un aizsargā cilvēka </w:t>
      </w:r>
      <w:proofErr w:type="spellStart"/>
      <w:r>
        <w:t>pamattiesības</w:t>
      </w:r>
      <w:proofErr w:type="spellEnd"/>
      <w:r>
        <w:t xml:space="preserve"> saskaņā ar Satversmi, likumiem un Latvijai saistošiem starptautiskajiem līgumiem. No šā panta izriet, ka likumdevēja mērķis ir panākt Satversmē ietverto cilvēktiesību normu harmoniju ar starptautisko tiesību normām. Latvijai saistošās starptautiskās cilvēktiesību normas un to piemērošanas prakse konstitucionālo tiesību līmenī kalpo arī par konkretizācijas līdzekli, lai noteiktu </w:t>
      </w:r>
      <w:r>
        <w:lastRenderedPageBreak/>
        <w:t xml:space="preserve">demokrātiskas tiesiskas valsts principu saturu un apjomu, ciktāl tas nenoved pie Satversmē ietverto </w:t>
      </w:r>
      <w:proofErr w:type="spellStart"/>
      <w:r>
        <w:t>pamattiesību</w:t>
      </w:r>
      <w:proofErr w:type="spellEnd"/>
      <w:r>
        <w:t xml:space="preserve"> aizsardzības samazināšanas (sk., piemēram, Satversmes tiesas 2020. gada 16. jūlija sprieduma lietā Nr. 2019-25-03 18. punktu). </w:t>
      </w:r>
    </w:p>
    <w:p w14:paraId="13A55B1E" w14:textId="77777777" w:rsidR="00EE3F36" w:rsidRDefault="00070E25">
      <w:r>
        <w:t xml:space="preserve">[1.1] Jēdziens par bērna interesēm, kas izriet no 1959.gada 20.novembra Bērnu tiesību deklarācijas otrā pamatprincipa, 1989.gadā tika pausts Konvencijas par bērnu tiesībām 3.panta 1.punktā, proti, ka visās darbībās attiecībā uz bērniem neatkarīgi no tā, vai šīs darbības veic valsts iestādes vai privātas iestādes, kas nodarbojas ar sociālās labklājības jautājumiem, tiesas, administratīvie vai likumdevējas iestādes, pirmkārt tiek ņemtas vērā bērnu intereses. Tiesiskajās attiecībās, kas skar bērnu, un visās darbībās attiecībā uz bērnu prioritāras ir viņa tiesības un vislabākās intereses. Minētais pamatprincips noteikts arī Latvijas tiesību sistēmā - Bērnu tiesību aizsardzības likuma 6. panta pirmajā daļā. Likumdevējam jāievēro, lai pieņemtie normatīvie akti aizsargātu bērna likumiskās intereses iespējami labākajā veidā (sk. Satversmes tiesas 2019. gada 16. maija sprieduma lietā Nr. 2018-21-01 16.2. punktu). Bērna vislabāko interešu prioritātes princips ļauj ierobežot citu personu tiesības, ja ir saprātīgs pamats uzskatīt, ka bez šāda ierobežojuma var tikt apdraudētas bērna intereses (sk.: </w:t>
      </w:r>
      <w:proofErr w:type="spellStart"/>
      <w:r>
        <w:t>Eekelaar</w:t>
      </w:r>
      <w:proofErr w:type="spellEnd"/>
      <w:r>
        <w:t xml:space="preserve"> J., Tobin J. </w:t>
      </w:r>
      <w:proofErr w:type="spellStart"/>
      <w:r>
        <w:t>Article</w:t>
      </w:r>
      <w:proofErr w:type="spellEnd"/>
      <w:r>
        <w:t xml:space="preserve"> 3. </w:t>
      </w:r>
      <w:proofErr w:type="spellStart"/>
      <w:r>
        <w:t>The</w:t>
      </w:r>
      <w:proofErr w:type="spellEnd"/>
      <w:r>
        <w:t xml:space="preserve"> Best </w:t>
      </w:r>
      <w:proofErr w:type="spellStart"/>
      <w:r>
        <w:t>Interests</w:t>
      </w:r>
      <w:proofErr w:type="spellEnd"/>
      <w:r>
        <w:t xml:space="preserve"> </w:t>
      </w:r>
      <w:proofErr w:type="spellStart"/>
      <w:r>
        <w:t>of</w:t>
      </w:r>
      <w:proofErr w:type="spellEnd"/>
      <w:r>
        <w:t xml:space="preserve"> </w:t>
      </w:r>
      <w:proofErr w:type="spellStart"/>
      <w:r>
        <w:t>the</w:t>
      </w:r>
      <w:proofErr w:type="spellEnd"/>
      <w:r>
        <w:t xml:space="preserve"> </w:t>
      </w:r>
      <w:proofErr w:type="spellStart"/>
      <w:r>
        <w:t>Child</w:t>
      </w:r>
      <w:proofErr w:type="spellEnd"/>
      <w:r>
        <w:t xml:space="preserve">. </w:t>
      </w:r>
      <w:proofErr w:type="spellStart"/>
      <w:r>
        <w:t>In</w:t>
      </w:r>
      <w:proofErr w:type="spellEnd"/>
      <w:r>
        <w:t>: Tobin J. (</w:t>
      </w:r>
      <w:proofErr w:type="spellStart"/>
      <w:r>
        <w:t>ed</w:t>
      </w:r>
      <w:proofErr w:type="spellEnd"/>
      <w:r>
        <w:t xml:space="preserve">.) </w:t>
      </w:r>
      <w:proofErr w:type="spellStart"/>
      <w:r>
        <w:t>The</w:t>
      </w:r>
      <w:proofErr w:type="spellEnd"/>
      <w:r>
        <w:t xml:space="preserve"> UN </w:t>
      </w:r>
      <w:proofErr w:type="spellStart"/>
      <w:r>
        <w:t>Convention</w:t>
      </w:r>
      <w:proofErr w:type="spellEnd"/>
      <w:r>
        <w:t xml:space="preserve"> </w:t>
      </w:r>
      <w:proofErr w:type="spellStart"/>
      <w:r>
        <w:t>on</w:t>
      </w:r>
      <w:proofErr w:type="spellEnd"/>
      <w:r>
        <w:t xml:space="preserve"> </w:t>
      </w:r>
      <w:proofErr w:type="spellStart"/>
      <w:r>
        <w:t>the</w:t>
      </w:r>
      <w:proofErr w:type="spellEnd"/>
      <w:r>
        <w:t xml:space="preserve"> </w:t>
      </w:r>
      <w:proofErr w:type="spellStart"/>
      <w:r>
        <w:t>Rights</w:t>
      </w:r>
      <w:proofErr w:type="spellEnd"/>
      <w:r>
        <w:t xml:space="preserve"> </w:t>
      </w:r>
      <w:proofErr w:type="spellStart"/>
      <w:r>
        <w:t>of</w:t>
      </w:r>
      <w:proofErr w:type="spellEnd"/>
      <w:r>
        <w:t xml:space="preserve"> </w:t>
      </w:r>
      <w:proofErr w:type="spellStart"/>
      <w:r>
        <w:t>the</w:t>
      </w:r>
      <w:proofErr w:type="spellEnd"/>
      <w:r>
        <w:t xml:space="preserve"> </w:t>
      </w:r>
      <w:proofErr w:type="spellStart"/>
      <w:r>
        <w:t>Child</w:t>
      </w:r>
      <w:proofErr w:type="spellEnd"/>
      <w:r>
        <w:t xml:space="preserve">. A </w:t>
      </w:r>
      <w:proofErr w:type="spellStart"/>
      <w:r>
        <w:t>Commentary</w:t>
      </w:r>
      <w:proofErr w:type="spellEnd"/>
      <w:r>
        <w:t xml:space="preserve">. </w:t>
      </w:r>
      <w:proofErr w:type="spellStart"/>
      <w:r>
        <w:t>Oxford</w:t>
      </w:r>
      <w:proofErr w:type="spellEnd"/>
      <w:r>
        <w:t xml:space="preserve">: </w:t>
      </w:r>
      <w:proofErr w:type="spellStart"/>
      <w:r>
        <w:t>Oxford</w:t>
      </w:r>
      <w:proofErr w:type="spellEnd"/>
      <w:r>
        <w:t xml:space="preserve"> </w:t>
      </w:r>
      <w:proofErr w:type="spellStart"/>
      <w:r>
        <w:t>University</w:t>
      </w:r>
      <w:proofErr w:type="spellEnd"/>
      <w:r>
        <w:t xml:space="preserve">, 2019, p. 99). Bērna vislabāko interešu prioritātes princips nozīmē, ka attiecībā uz lēmumiem, kas tiek pieņemti tieši attiecībā uz bērnu, prioritāte piešķirama tam risinājumam, kas vislabāk nodrošina bērna tiesību un interešu ievērošanu. Savukārt gadījumos, kad lēmums tiek pieņemts, izsverot dažādas iesaistītās intereses, tostarp bērna intereses, ir jāņem vērā, ka bērna interesēm arī šādā gadījumā ir visaugstākā prioritāte. Taču tas pats par sevi nenozīmē, ka citas intereses nebūtu jāņem vērā. Šādā gadījumā ir jāatrod labākais līdzsvars starp visām iesaistītajām interesēm (sal. sk.: </w:t>
      </w:r>
      <w:proofErr w:type="spellStart"/>
      <w:r>
        <w:t>Eekelaar</w:t>
      </w:r>
      <w:proofErr w:type="spellEnd"/>
      <w:r>
        <w:t xml:space="preserve"> J., Tobin J. </w:t>
      </w:r>
      <w:proofErr w:type="spellStart"/>
      <w:r>
        <w:t>Article</w:t>
      </w:r>
      <w:proofErr w:type="spellEnd"/>
      <w:r>
        <w:t xml:space="preserve"> 3. </w:t>
      </w:r>
      <w:proofErr w:type="spellStart"/>
      <w:r>
        <w:t>The</w:t>
      </w:r>
      <w:proofErr w:type="spellEnd"/>
      <w:r>
        <w:t xml:space="preserve"> Best </w:t>
      </w:r>
      <w:proofErr w:type="spellStart"/>
      <w:r>
        <w:t>Interests</w:t>
      </w:r>
      <w:proofErr w:type="spellEnd"/>
      <w:r>
        <w:t xml:space="preserve"> </w:t>
      </w:r>
      <w:proofErr w:type="spellStart"/>
      <w:r>
        <w:t>of</w:t>
      </w:r>
      <w:proofErr w:type="spellEnd"/>
      <w:r>
        <w:t xml:space="preserve"> </w:t>
      </w:r>
      <w:proofErr w:type="spellStart"/>
      <w:r>
        <w:t>the</w:t>
      </w:r>
      <w:proofErr w:type="spellEnd"/>
      <w:r>
        <w:t xml:space="preserve"> </w:t>
      </w:r>
      <w:proofErr w:type="spellStart"/>
      <w:r>
        <w:t>Child</w:t>
      </w:r>
      <w:proofErr w:type="spellEnd"/>
      <w:r>
        <w:t xml:space="preserve">. </w:t>
      </w:r>
      <w:proofErr w:type="spellStart"/>
      <w:r>
        <w:t>In</w:t>
      </w:r>
      <w:proofErr w:type="spellEnd"/>
      <w:r>
        <w:t>: Tobin J. (</w:t>
      </w:r>
      <w:proofErr w:type="spellStart"/>
      <w:r>
        <w:t>ed</w:t>
      </w:r>
      <w:proofErr w:type="spellEnd"/>
      <w:r>
        <w:t xml:space="preserve">.) </w:t>
      </w:r>
      <w:proofErr w:type="spellStart"/>
      <w:r>
        <w:t>The</w:t>
      </w:r>
      <w:proofErr w:type="spellEnd"/>
      <w:r>
        <w:t xml:space="preserve"> UN </w:t>
      </w:r>
      <w:proofErr w:type="spellStart"/>
      <w:r>
        <w:t>Convention</w:t>
      </w:r>
      <w:proofErr w:type="spellEnd"/>
      <w:r>
        <w:t xml:space="preserve"> </w:t>
      </w:r>
      <w:proofErr w:type="spellStart"/>
      <w:r>
        <w:t>on</w:t>
      </w:r>
      <w:proofErr w:type="spellEnd"/>
      <w:r>
        <w:t xml:space="preserve"> </w:t>
      </w:r>
      <w:proofErr w:type="spellStart"/>
      <w:r>
        <w:t>the</w:t>
      </w:r>
      <w:proofErr w:type="spellEnd"/>
      <w:r>
        <w:t xml:space="preserve"> </w:t>
      </w:r>
      <w:proofErr w:type="spellStart"/>
      <w:r>
        <w:t>Rights</w:t>
      </w:r>
      <w:proofErr w:type="spellEnd"/>
      <w:r>
        <w:t xml:space="preserve"> </w:t>
      </w:r>
      <w:proofErr w:type="spellStart"/>
      <w:r>
        <w:t>of</w:t>
      </w:r>
      <w:proofErr w:type="spellEnd"/>
      <w:r>
        <w:t xml:space="preserve"> </w:t>
      </w:r>
      <w:proofErr w:type="spellStart"/>
      <w:r>
        <w:t>the</w:t>
      </w:r>
      <w:proofErr w:type="spellEnd"/>
      <w:r>
        <w:t xml:space="preserve"> </w:t>
      </w:r>
      <w:proofErr w:type="spellStart"/>
      <w:r>
        <w:t>Child</w:t>
      </w:r>
      <w:proofErr w:type="spellEnd"/>
      <w:r>
        <w:t xml:space="preserve">. A </w:t>
      </w:r>
      <w:proofErr w:type="spellStart"/>
      <w:r>
        <w:t>Commentary</w:t>
      </w:r>
      <w:proofErr w:type="spellEnd"/>
      <w:r>
        <w:t xml:space="preserve">. </w:t>
      </w:r>
      <w:proofErr w:type="spellStart"/>
      <w:r>
        <w:t>Oxford</w:t>
      </w:r>
      <w:proofErr w:type="spellEnd"/>
      <w:r>
        <w:t xml:space="preserve">: </w:t>
      </w:r>
      <w:proofErr w:type="spellStart"/>
      <w:r>
        <w:t>Oxford</w:t>
      </w:r>
      <w:proofErr w:type="spellEnd"/>
      <w:r>
        <w:t xml:space="preserve"> </w:t>
      </w:r>
      <w:proofErr w:type="spellStart"/>
      <w:r>
        <w:t>University</w:t>
      </w:r>
      <w:proofErr w:type="spellEnd"/>
      <w:r>
        <w:t xml:space="preserve">, 2019, </w:t>
      </w:r>
      <w:proofErr w:type="spellStart"/>
      <w:r>
        <w:t>pp</w:t>
      </w:r>
      <w:proofErr w:type="spellEnd"/>
      <w:r>
        <w:t xml:space="preserve">. 96–99; sk. arī ANO Bērna tiesību komitejas Vispārējā komentāra Nr. 14 (2013) par bērna tiesībām uz to, lai primārais apsvērums būtu viņu intereses (3. panta pirmā daļa) 39. punktu). </w:t>
      </w:r>
    </w:p>
    <w:p w14:paraId="66171708" w14:textId="77777777" w:rsidR="00EE3F36" w:rsidRDefault="00070E25">
      <w:r>
        <w:t xml:space="preserve">[1.2] Turklāt ir būtiski atzīmēt, ka arī to personu tiesības, kuras noziedzīgu nodarījumu izdara, būdamas nepilngadīgas, aizsargā bērna vislabāko interešu prioritātes princips. Iespējams, ka šādā vecumā bērns vēl nav sasniedzis pietiekamu brieduma pakāpi un līdz ar to arī pienācīgu izpratni par savas rīcības sekām (sk. Satversmes tiesas 2021. gada 25. marta sprieduma lietā Nr. 2020-36-01 19.3.2. punktu). Konceptuāli pastāv vienota izpratne par to, ka valsts reakcija uz nepilngadīgo izdarītajiem pārkāpumiem prasa citus standartus un risinājumus, ka nepilngadīgo atbildības jēdziens ir atšķirīgs un ka šo atšķirību raksturs ir labvēlīgs tai personai, kura pārkāpusi likumu, - viņas vajadzībām atbilstošāks (sk. </w:t>
      </w:r>
      <w:proofErr w:type="spellStart"/>
      <w:r>
        <w:t>dr.</w:t>
      </w:r>
      <w:proofErr w:type="spellEnd"/>
      <w:r>
        <w:t xml:space="preserve"> iur. A. Judins “Atjaunojošā justīcija nepilngadīgo noziedzības kontekstā: Baltijas valstis Eiropas dimensijā” 8. lpp.). </w:t>
      </w:r>
    </w:p>
    <w:p w14:paraId="67B6BC0A" w14:textId="47196298" w:rsidR="00EE3F36" w:rsidRDefault="00070E25">
      <w:r>
        <w:lastRenderedPageBreak/>
        <w:t xml:space="preserve">[1.3] Krimināllikuma 64. panta pirmā daļa noteic, ka Krimināllikuma VII nodaļas “Nepilngadīgā kriminālatbildības īpatnības” nosacījumi attiecas uz personu, kas līdz noziedzīgā nodarījuma izdarīšanai nav sasniegusi astoņpadsmit gadu vecumu. Vārds "nepilngadīgais" arī starptautiskajos dokumentos interpretēts tikpat plaši - Apvienoto Nāciju Organizācijas (turpmāk - ANO) </w:t>
      </w:r>
      <w:proofErr w:type="spellStart"/>
      <w:r>
        <w:t>Juvenālās</w:t>
      </w:r>
      <w:proofErr w:type="spellEnd"/>
      <w:r>
        <w:t xml:space="preserve"> justīcijas administrēšanas Minimālo standarta noteikumu (Pekinas noteikumi) 2.2 (a) punkts nosaka, ka nepilngadīgais ir bērns vai gados jauns cilvēks, uz kuru - atbilstoši konkrētajai tiesiskajai sistēmai - ir attiecināma cita kārtība nekā uz vecākām, proti - pieaugušām personām. ANO 1990. gada 14. decembra noteikumi “Nepilngadīgo, kuriem atņemta viņu brīvība, aizsardzībai” 11. punkts paredz, ka nepilngadīgais ir ikviena persona, kas nav sasniegusi astoņpadsmit gadu vecumu. Krimināllikuma 66. panta ceturtā daļa arī paredz labvēlīgāku soda noteikšanas iespējamību nepilngadīgajiem, proti, a persona pirms astoņpadsmit gadu vecuma sasniegšanas izdarījusi noziedzīgu nodarījumu, par ko šā likuma sevišķās daļas attiecīgā panta sankcijā noteikta piemērojamā brīvības atņemšanas soda minimālā robeža, tiesa var piespriest sodu, kas ir zemāks par šo minimālo robežu, arī gadījumos, ja tā atzinusi, ka noziedzīgais nodarījums izdarīts atbildību pastiprinošos apstākļos. Līdz ar to likumdevējs jau šobrīd ir paredzējis, ka personas, kas noziedzīgus nodarījumus veikušas, būdamas nepilngadīgas, un stājas tiesas priekšā pirms 18 gadu vecuma sasniegšanas faktiski atrodas identā stāvoklī ar personām, kas noziedzīgu rīcību īstenojušas pirms 18 gadu vecuma, taču notiesātas tiek jau kā pilngadīgas personas, nosakot tām kriminālsodu par izdarīto noziedzīgo nodarījumu. </w:t>
      </w:r>
    </w:p>
    <w:p w14:paraId="1CB5A450" w14:textId="77777777" w:rsidR="00710E87" w:rsidRDefault="00070E25">
      <w:r>
        <w:t xml:space="preserve">[2.] Kriminālatbildība ir paredzēta tikai par smagākajiem un sabiedrībai bīstamākajiem nodarījumiem. Kriminālatbildība ir smagākais iespējamais juridiskās atbildības veids (sk. Krastiņš U., </w:t>
      </w:r>
      <w:proofErr w:type="spellStart"/>
      <w:r>
        <w:t>Liholaja</w:t>
      </w:r>
      <w:proofErr w:type="spellEnd"/>
      <w:r>
        <w:t xml:space="preserve"> V., Niedre A. Krimināltiesības. Vispārīgā daļa. Trešais papildinātais izdevums. Rīga: Tiesu namu aģentūra, 2008, 61. lpp.). Brīvības atņemšana kā pamatsods ir piespriežama tajos gadījumos, kad citādi nav iespējams sasniegt kriminālsoda mērķus, proti, aizsargāt sabiedrības drošību, atjaunot taisnīgumu, sodīt vainīgo personu par izdarīto noziedzīgo </w:t>
      </w:r>
      <w:proofErr w:type="spellStart"/>
      <w:r>
        <w:t>nodarjumu</w:t>
      </w:r>
      <w:proofErr w:type="spellEnd"/>
      <w:r>
        <w:t xml:space="preserve">, </w:t>
      </w:r>
      <w:proofErr w:type="spellStart"/>
      <w:r>
        <w:t>resocializēt</w:t>
      </w:r>
      <w:proofErr w:type="spellEnd"/>
      <w:r>
        <w:t xml:space="preserve"> sodīto personu un panākt, lai notiesātais un citas personas pildītu likumus un atturētos no noziedzīgu nodarījumu izdarīšanas (sk. Krimināllikuma 35. panta otro daļu). Krimināllikuma 46. pantā ietvertas svarīgas soda individualizācijas principa sastāvdaļas, kas ir saistītas ar taisnīguma principu (sk. </w:t>
      </w:r>
      <w:proofErr w:type="spellStart"/>
      <w:r>
        <w:t>Liholaja</w:t>
      </w:r>
      <w:proofErr w:type="spellEnd"/>
      <w:r>
        <w:t xml:space="preserve"> V. Komentārs Krimināllikuma 46. pantam. </w:t>
      </w:r>
      <w:proofErr w:type="spellStart"/>
      <w:r>
        <w:t>Grām</w:t>
      </w:r>
      <w:proofErr w:type="spellEnd"/>
      <w:r>
        <w:t xml:space="preserve">.: Krimināllikuma komentāri. Pirmā daļa. Otrais papildinātais izdevums. Rīga: Tiesu namu aģentūra, 2018, 197. lpp.). No minētā izriet, ka, piemērojot kriminālatbildību, svarīga kriminālsoda sastāvdaļa ir individuāla soda piemērošana. Tādejādi ja soda piemērošanā tiek ievērota individualizācija atkarībā no dažādiem faktoriem, tā ir piemērojama arī kriminālsodu izpildes sistēmā, nodrošinot pilnvērtīgu un jēgpilnu notiesāto resocializāciju atbilstoši katras ar brīvības atņemšanu sodītas personas kriminogēnajām vajadzībām. </w:t>
      </w:r>
    </w:p>
    <w:p w14:paraId="27E035C4" w14:textId="6E7C4823" w:rsidR="00710E87" w:rsidRDefault="00070E25">
      <w:r>
        <w:t xml:space="preserve">[3.] </w:t>
      </w:r>
      <w:proofErr w:type="spellStart"/>
      <w:r>
        <w:t>Kriminālikuma</w:t>
      </w:r>
      <w:proofErr w:type="spellEnd"/>
      <w:r>
        <w:t xml:space="preserve"> 64. panta trešajā daļā īpaši tiek uzsvērts, ka attiecībā uz nepilngadīgo primārais soda mērķis ir nepilngadīgā resocializācija, jo ir pierādīts, ka vairākums nepilngadīgo, nobriestot personībai un izaugot par pieaugušiem cilvēkiem, pārtrauc </w:t>
      </w:r>
      <w:proofErr w:type="spellStart"/>
      <w:r>
        <w:lastRenderedPageBreak/>
        <w:t>likumpārkāpjošo</w:t>
      </w:r>
      <w:proofErr w:type="spellEnd"/>
      <w:r>
        <w:t xml:space="preserve"> uzvedību. Vairākumam nepilngadīgo problemātiska uzvedība ir pārejoša, tādēļ sods bez resocializācijas var potenciāli negatīvi ietekmēt nepilngadīgā identitāti un pašapziņu, kas ir nepieciešama sekmīgai attīstībai. Izmantotās darba metodes, kas neietver </w:t>
      </w:r>
      <w:proofErr w:type="spellStart"/>
      <w:r>
        <w:t>resocializaciju</w:t>
      </w:r>
      <w:proofErr w:type="spellEnd"/>
      <w:r>
        <w:t xml:space="preserve">, kavē veselīgu pusaudža attīstību, tās parasti ir vāji attīstītas un vāji pamatotas prakses un ilgtermiņā ir finansiāli dārgas. Atšķirības starp pieaugušajiem un nepilngadīgajiem, kā arī straujās pārmaiņas, kas norit pusaudžu gados, ir būtisks pamats plašam uzvedības problēmu klāstam un ir vissvarīgākais iemesls, lai varētu izvelēties attiecīgajam nepilngadīgajam visefektīvāko resocializācijas veidu. Sodam un izolācijai bez resocializācijas iespējas var būt kaitīga ietekme uz jaunieša </w:t>
      </w:r>
      <w:proofErr w:type="spellStart"/>
      <w:r>
        <w:t>prosociālu</w:t>
      </w:r>
      <w:proofErr w:type="spellEnd"/>
      <w:r>
        <w:t xml:space="preserve"> attīstību. Izolācija nesniedz iespēju izveidot pozitīvas vienaudžu attiecības, iesaistīšanos attīstošās aktivitātēs; ierobežo izglītības iegūšanu un darba iespējas; tādējādi iespējami veicina pazemošanu, noraidījumu, sociālo atsvešinātību, </w:t>
      </w:r>
      <w:proofErr w:type="spellStart"/>
      <w:r>
        <w:t>stigmatizāciju</w:t>
      </w:r>
      <w:proofErr w:type="spellEnd"/>
      <w:r>
        <w:t xml:space="preserve"> un nestabilitāti visas turpmākās dzīves garumā. Resocializācijas pieejas uzsver, ka nepilngadība ir tas laiks cilvēka dzīvē, kad ir vislielākās iespējas gūt pozitīvus rezultātus uzvedības maiņai. Lai mazinātu negatīvos izolācijas efektus, piemēram, iespējamo kontaktu veidošanu ar antisociāliem vienaudžiem un pakļaušanu negatīvām ietekmēm, un lai palielinātu iespējas iesaistīties sociāli vēlamās aktivitātēs un gūt pozitīvu ģimenes atbalstu vai cita veida atbalstu, individuāli pielāgotas resocializācijas iespējas ir jāpiedāvā iespējami mazāk ierobežojošās un slēgtās vidēs, ņemot vērā attiecīgā nepilngadīgā risku, vajadzības un sabiedrības drošību (sk. Likumprojekta "Grozījuma Krimināllikuma" (Nr. 357/Lp13) anotāciju). Arī Tieslietu ministrija, īstenojot nepilngadīgo kriminālatbildības reformu, uzsvērusi nepieciešamību veicināt jauniešu veiksmīgāku integrāciju sabiedrībā, "lai reaģētu uz bērna problēmām un tās risinātu soda ietvarā, lai bērnu neizolētu no sabiedrības, bet gan panāktu bērnā tādu uzvedības modeli, kas atbilst vispārējām sabiedrības tikumības, morāles un likuma normām" (sk. Tieslietu ministrijas 2020. gada 6. oktobra vēstuli Nr. 1-24/3185). Bērnu tiesvedības sistēma būtu jāpiemēro visiem bērniem, kuri ir sasnieguši minimālo vecumu, no kura iestājas kriminālatbildība, bet nav sasnieguši 18 gadu vecumu nodarījuma izdarīšanas brīdī. Bērnu justīcijas sistēmai būtu jāattiecina aizsardzība arī uz bērniem, kuri noziedzīgā nodarījuma izdarīšanas laikā bija jaunāki par 18 gadiem, bet kuri tiesas procesa vai sprieduma pasludināšanas laikā sasniedz 18 gadu vecumu (sk. ANO Bērnu tiesību komitejas Vispārējais komentārs Nr. 24 (2019) par bērnu tiesībām bērnu tieslietu sistēmā 29. un 31 punktu). Bērnu tiesību konvencijas 37. panta b) apakšpunkts nosaka, ka dalībvalstis nodrošina to, ka nevienam bērnam nelikumīgi vai patvaļīgi netiek atņemta brīvība. Bērna apcietināšanai, aizturēšanai vai ieslodzīšanai cietumā jānotiek saskaņā ar likumu, un tas jāizmanto tikai kā galējas nepieciešamības līdzeklis un uz iespējami īsāku laiku. </w:t>
      </w:r>
    </w:p>
    <w:p w14:paraId="6D8DE261" w14:textId="6EA9BC14" w:rsidR="00C237B3" w:rsidRDefault="00070E25">
      <w:r>
        <w:t xml:space="preserve">[4.] Praksē ļoti bieži gadās situācijas, kad kriminālprocess tiek uzsākts pret personu par noziedzīgiem nodarījumiem, ko persona veikusi pirms astoņpadsmit gadu vecuma sasniegšanas, taču sodīta persona tiek tikai pēc astoņpadsmit gadu vecuma sasniegšanas. Tiesību akti personu, kas noziedzīgu nodarījumu veic pirms astoņpadsmit gadu vecuma sasniegšanas, juridiski nostāda līdzvērtīgā </w:t>
      </w:r>
      <w:r>
        <w:lastRenderedPageBreak/>
        <w:t xml:space="preserve">stāvoklī. Tikai tādēļ, ka kriminālprocess ievelkas, ka procesa virzītāji nav spējīgi tos laicīgi pabeigt, vai tikai fakts, ka persona kļūst pilngadīga, nevar veicināt apstākli to stāvokļa pasliktināšanai kriminālsodu izpildes sistēmā kā tas ir šobrīd. Likumprojekts paredz, ka personas, kas no audzināšanas iestādēm nepilngadīgajiem tiks pārvietotas uz “pieaugušo ieslodzījuma vietām”, varēs nonākt uzreiz daļēji slēgtā cietuma soda izciešanas režīma augstākajā pakāpē vai pat atklātajā cietumā, kamēr personas, kas tiek notiesātas par noziedzīgiem nodarījumiem, kas izdarīti pirms astoņpadsmit gadu vecuma, bet tiek sodītas esot pilngadīgas, soda izciešanu uzsāks izciest daļēji slēgtā cietuma soda izciešanas režīma zemākajā pakāpē, proti, viszemākajā soda progresīvās izpildes sistēmas posmā. Persona, kas jau kļuvusi pilngadīga, bet likumpārkāpumu izdarījusi pirms 18 gadiem, atrodas nevienlīdzīgākā situācijā, nekā tāda pati persona, kas vēl ir nepilngadīga, bet, piemēram, drīz kļūs pilngadīga. Jauniešu justīcijai būtu jābūt attiecināmai identiski uz visām personām, jo konkrētajā gadījumā plānotais tiesiskais regulējums, pat ja nepilngadīgai personai pēc dažām dienām vai nedēļām paliks 18 gadi, ir plānots daudz labvēlīgāks regulējums, nekā personai, kas nesen kļuvusi pilngadīga. Proti, nav saprotams, kādēļ iespēja turpināt soda izciešanu nepilngadīgajiem ir jau pat atklātajā cietumā dažus mēnešus no soda izciešanas, ja notiesātais nepretendēs uz nosacītu pirmstermiņa atbrīvošanu no soda izciešanas, vai slēgtā cietuma soda izciešanas režīma augstākajā pakāpē, ja notiesātā uzvedība ir </w:t>
      </w:r>
      <w:proofErr w:type="spellStart"/>
      <w:r>
        <w:t>neapmierinošana</w:t>
      </w:r>
      <w:proofErr w:type="spellEnd"/>
      <w:r>
        <w:t xml:space="preserve"> vai nav iespējams viņu atbrīvot nosacīti pirms termiņa no soda izciešanas. Kodekss paredz, ka soda izciešanas režīma zemākajā pakāpē jāizcieš ne mazāk kā ¼ no soda un ka ne mazāk kā ¼ no soda jāizcieš soda izciešanas režīma augstākajā pakāpē. Tādējādi dažas personas apzināti tiek pavirzītas uz priekšu soda progresīvās izpildes sistēmā, kas nav saprotams un atbilstošs. Kā jau minēts iepriekš, nav saprotams, kādā veidā personas, kas noziedzīgus nodarījumus veic, esot nepilngadīgas, un tiek notiesātas, esot nepilngadīgas, no personām, kas noziegumus veic pirms 18 gadu vecuma sasniegšanas, bet tiek notiesātas, jau esot pilngadīgas. Pirmā tipa personas var kļūt pilngadīgas pēc dažām nedēļām vai mēnešiem, tik pārvietotas uz atklātā tipa cietumu vai uz soda izciešanas režīma augstāko pakāpi un būt tālākā soda progresīvās izpildes sistēmas posmā nekā otrā tipa personas. Tā kā kriminālsodu noteikšanas politika paredz praktiski identu kriminālsoda noteikšanu </w:t>
      </w:r>
      <w:proofErr w:type="spellStart"/>
      <w:r>
        <w:t>aba</w:t>
      </w:r>
      <w:proofErr w:type="spellEnd"/>
      <w:r>
        <w:t xml:space="preserve"> tipa personām, nav saprotams, kādēļ citāda attieksme ir pieļaujama, izpildot kriminālsodu. Līdz ar to uzskatu, ka Likumprojekts nostāda personas, kas noziedzīgu rīcību īstenojušas, esot nepilngadīgas, bet tiek tiesātas, jau esot pilngadīgas, nevienlīdzīgākā situācijā, kurai nav leģitīms mērķis un ka šāda rīcība nav samērīga, ir neatbilstoša Latvijas starptautiskajām saistībām un Satversmes 91. panta pirmajam teikumam un 110. pantam."</w:t>
      </w:r>
    </w:p>
    <w:p w14:paraId="359FC8DB" w14:textId="4DE94336" w:rsidR="00946F96" w:rsidRDefault="00946F96"/>
    <w:p w14:paraId="613319DF" w14:textId="77777777" w:rsidR="00A01133" w:rsidRDefault="00534A23">
      <w:r>
        <w:rPr>
          <w:b/>
          <w:bCs/>
        </w:rPr>
        <w:t>Fiziskās personas</w:t>
      </w:r>
      <w:r w:rsidR="00946F96" w:rsidRPr="00946F96">
        <w:rPr>
          <w:b/>
          <w:bCs/>
        </w:rPr>
        <w:t xml:space="preserve"> 2022.gada </w:t>
      </w:r>
      <w:r w:rsidR="00946F96">
        <w:rPr>
          <w:b/>
          <w:bCs/>
        </w:rPr>
        <w:t>12</w:t>
      </w:r>
      <w:r w:rsidR="00946F96" w:rsidRPr="00946F96">
        <w:rPr>
          <w:b/>
          <w:bCs/>
        </w:rPr>
        <w:t>.novembra</w:t>
      </w:r>
      <w:r w:rsidR="00946F96">
        <w:rPr>
          <w:b/>
          <w:bCs/>
        </w:rPr>
        <w:t xml:space="preserve"> </w:t>
      </w:r>
      <w:r w:rsidR="00946F96" w:rsidRPr="00946F96">
        <w:rPr>
          <w:b/>
          <w:bCs/>
        </w:rPr>
        <w:t xml:space="preserve">viedokļa </w:t>
      </w:r>
      <w:r w:rsidR="00834357">
        <w:rPr>
          <w:b/>
          <w:bCs/>
        </w:rPr>
        <w:t>pilns</w:t>
      </w:r>
      <w:r w:rsidR="00834357" w:rsidRPr="00946F96">
        <w:rPr>
          <w:b/>
          <w:bCs/>
        </w:rPr>
        <w:t xml:space="preserve"> </w:t>
      </w:r>
      <w:r w:rsidR="00946F96" w:rsidRPr="00946F96">
        <w:rPr>
          <w:b/>
          <w:bCs/>
        </w:rPr>
        <w:t>teksts</w:t>
      </w:r>
      <w:r w:rsidR="00946F96">
        <w:t xml:space="preserve">: </w:t>
      </w:r>
      <w:r w:rsidR="00946F96" w:rsidRPr="00946F96">
        <w:t>"</w:t>
      </w:r>
      <w:r w:rsidR="00185D2D">
        <w:t xml:space="preserve">Likumprojekts “Grozījumi Latvijas Sodu izpildes kodeksā”(Nr. 22-TA-3178) (turpmāk - Likumprojekts) paredz </w:t>
      </w:r>
      <w:proofErr w:type="spellStart"/>
      <w:r w:rsidR="00185D2D">
        <w:t>iztekt</w:t>
      </w:r>
      <w:proofErr w:type="spellEnd"/>
      <w:r w:rsidR="00185D2D">
        <w:t xml:space="preserve"> Latvijas Sodu izpildes kodeksa (turpmāk - Kodekss) 50.</w:t>
      </w:r>
      <w:r w:rsidR="00EA6D20">
        <w:rPr>
          <w:vertAlign w:val="superscript"/>
        </w:rPr>
        <w:t>4</w:t>
      </w:r>
      <w:r w:rsidR="00185D2D">
        <w:t xml:space="preserve"> pantu jaunā redakcijā, nosakot, ka slēgtā cietuma soda izciešanas režīma zemākajā pakāpē sodu uzsāk izciest par smaga vai sevišķi smaga </w:t>
      </w:r>
      <w:r w:rsidR="00185D2D">
        <w:lastRenderedPageBreak/>
        <w:t xml:space="preserve">nozieguma izdarīšanu ar brīvības atņemšanu virs sešiem mēnešiem notiesātas pilngadīgas personas, izņemot nepilngadīgos. Šobrīd Kodeksa 50. </w:t>
      </w:r>
      <w:r w:rsidR="00EA6D20">
        <w:rPr>
          <w:vertAlign w:val="superscript"/>
        </w:rPr>
        <w:t>4</w:t>
      </w:r>
      <w:r w:rsidR="00185D2D">
        <w:t xml:space="preserve"> panta pirmā daļa noteic, ka slēgtajā cietumā sodu izcieš ar brīvības atņemšanu notiesātie vīrieši par smaga vai sevišķi smaga nozieguma izdarīšanu, kā arī notiesātie, kas pārvietoti no daļēji slēgtā cietuma par rupjiem vai sistemātiskiem režīma pārkāpumiem, savukārt Kodeksa 50.</w:t>
      </w:r>
      <w:r w:rsidR="00EA6D20">
        <w:rPr>
          <w:vertAlign w:val="superscript"/>
        </w:rPr>
        <w:t>5</w:t>
      </w:r>
      <w:r w:rsidR="00185D2D">
        <w:t xml:space="preserve"> panta pirmā daļas 5. punkts paredz, ka vīrieši par smaga vai sevišķi smaga nozieguma izdarīšanu, ja viņi līdz nozieguma izdarīšanai nebija sasnieguši astoņpadsmit gadu vecumu. Tiek plānots grozīt arī Kodeksa 50.</w:t>
      </w:r>
      <w:r w:rsidR="00A01133">
        <w:rPr>
          <w:vertAlign w:val="superscript"/>
        </w:rPr>
        <w:t>7</w:t>
      </w:r>
      <w:r w:rsidR="00185D2D">
        <w:t xml:space="preserve"> pantu, tā piektajā daļā paredzot, ka, ja notiesātā nepilngadīgā, kas sasniedzis astoņpadsmit gadu vecumu, uzvedība izslēdz iespēju atstāt viņu audzināšanas iestādē nepilngadīgajiem vai pirms termiņa atbrīvot no soda izciešanas, viņu ar izvērtēšanas komisijas lēmumu var pārvietot uz slēgtā cietuma soda izciešanas augstāko pakāpi, savukārt sestajā daļā - pēc šajā daļā minēto nosacījumu izpildīšanās, ja notiesātais nepretendē uz nosacītu pirmstermiņa atbrīvošanu no soda izciešanas, notiesāto ar izvērtēšanas komisijas lēmumu pārvieto uz atklāto cietumu, ja nav beidzies noteiktais soda termiņš. Līdz ar to grozījumi Kodeksā vairs neparedzēs labvēlīgāku regulējumu attiecībā pret personām, kas noziedzīgus nodarījumus veikušas, būdamas nepilngadīgas, savukārt sodu uzsāk izciest, būdamas pilngadīgas, tostarp Likumprojekts nostādīs personas, kas noziedzīgus nodarījumus, veikušas pirms astoņpadsmit gadu vecuma nevienlīdzīgā situācijā atkarībā no vecuma, kurā uzsākts izciest brīvības atņemšanas sodu. Tādēļ uzskatu par nepieciešamu iesniegt viedokli par minētajiem grozījumiem, lai raisītu diskusiju, vai konkrētie grozījumi Kodeksā veicinās vienlīdzīgu attieksmi pret notiesātajiem, kas noziedzīgus nodarījumus veikuši, būdami nepilngadīgi. </w:t>
      </w:r>
    </w:p>
    <w:p w14:paraId="0B31CBAA" w14:textId="67B9E964" w:rsidR="00A01133" w:rsidRDefault="00185D2D">
      <w:r>
        <w:t xml:space="preserve">[1] Satversmes 110. pants paredz bērna tiesību aizsardzību. Savukārt Satversmes 89. pants noteic, ka valsts atzīst un aizsargā cilvēka </w:t>
      </w:r>
      <w:proofErr w:type="spellStart"/>
      <w:r>
        <w:t>pamattiesības</w:t>
      </w:r>
      <w:proofErr w:type="spellEnd"/>
      <w:r>
        <w:t xml:space="preserve"> saskaņā ar Satversmi, likumiem un Latvijai saistošiem starptautiskajiem līgumiem. No šā panta izriet, ka likumdevēja mērķis ir panākt Satversmē ietverto cilvēktiesību normu harmoniju ar starptautisko tiesību normām. Latvijai saistošās starptautiskās cilvēktiesību normas un to piemērošanas prakse konstitucionālo tiesību līmenī kalpo arī par konkretizācijas līdzekli, lai noteiktu demokrātiskas tiesiskas valsts principu saturu un apjomu, ciktāl tas nenoved pie Satversmē ietverto </w:t>
      </w:r>
      <w:proofErr w:type="spellStart"/>
      <w:r>
        <w:t>pamattiesību</w:t>
      </w:r>
      <w:proofErr w:type="spellEnd"/>
      <w:r>
        <w:t xml:space="preserve"> aizsardzības samazināšanas (sk., piemēram, Satversmes tiesas 2020. gada 16. jūlija sprieduma lietā Nr. 2019-25-03 18. punktu). </w:t>
      </w:r>
    </w:p>
    <w:p w14:paraId="7AB28390" w14:textId="77777777" w:rsidR="00262A15" w:rsidRDefault="00185D2D">
      <w:r>
        <w:t xml:space="preserve">[1.1] Jēdziens par bērna interesēm, kas izriet no 1959.gada 20.novembra Bērnu tiesību deklarācijas otrā pamatprincipa, 1989.gadā tika pausts Konvencijas par bērnu tiesībām 3.panta 1.punktā, proti, ka visās darbībās attiecībā uz bērniem neatkarīgi no tā, vai šīs darbības veic valsts iestādes vai privātas iestādes, kas nodarbojas ar sociālās labklājības jautājumiem, tiesas, administratīvie vai likumdevējas iestādes, pirmkārt tiek ņemtas vērā bērnu intereses. Tiesiskajās attiecībās, kas skar bērnu, un visās darbībās attiecībā uz bērnu prioritāras ir viņa tiesības un vislabākās intereses. Minētais pamatprincips noteikts arī Latvijas tiesību sistēmā - Bērnu tiesību aizsardzības likuma 6. panta pirmajā daļā. Likumdevējam jāievēro, lai pieņemtie normatīvie akti aizsargātu bērna likumiskās intereses iespējami labākajā veidā (sk. Satversmes tiesas 2019. gada 16. maija sprieduma lietā Nr. 2018-21-01 16.2. punktu). Bērna </w:t>
      </w:r>
      <w:r>
        <w:lastRenderedPageBreak/>
        <w:t xml:space="preserve">vislabāko interešu prioritātes princips ļauj ierobežot citu personu tiesības, ja ir saprātīgs pamats uzskatīt, ka bez šāda ierobežojuma var tikt apdraudētas bērna intereses (sk.: </w:t>
      </w:r>
      <w:proofErr w:type="spellStart"/>
      <w:r>
        <w:t>Eekelaar</w:t>
      </w:r>
      <w:proofErr w:type="spellEnd"/>
      <w:r>
        <w:t xml:space="preserve"> J., Tobin J. </w:t>
      </w:r>
      <w:proofErr w:type="spellStart"/>
      <w:r>
        <w:t>Article</w:t>
      </w:r>
      <w:proofErr w:type="spellEnd"/>
      <w:r>
        <w:t xml:space="preserve"> 3. </w:t>
      </w:r>
      <w:proofErr w:type="spellStart"/>
      <w:r>
        <w:t>The</w:t>
      </w:r>
      <w:proofErr w:type="spellEnd"/>
      <w:r>
        <w:t xml:space="preserve"> Best </w:t>
      </w:r>
      <w:proofErr w:type="spellStart"/>
      <w:r>
        <w:t>Interests</w:t>
      </w:r>
      <w:proofErr w:type="spellEnd"/>
      <w:r>
        <w:t xml:space="preserve"> </w:t>
      </w:r>
      <w:proofErr w:type="spellStart"/>
      <w:r>
        <w:t>of</w:t>
      </w:r>
      <w:proofErr w:type="spellEnd"/>
      <w:r>
        <w:t xml:space="preserve"> </w:t>
      </w:r>
      <w:proofErr w:type="spellStart"/>
      <w:r>
        <w:t>the</w:t>
      </w:r>
      <w:proofErr w:type="spellEnd"/>
      <w:r>
        <w:t xml:space="preserve"> </w:t>
      </w:r>
      <w:proofErr w:type="spellStart"/>
      <w:r>
        <w:t>Child</w:t>
      </w:r>
      <w:proofErr w:type="spellEnd"/>
      <w:r>
        <w:t xml:space="preserve">. </w:t>
      </w:r>
      <w:proofErr w:type="spellStart"/>
      <w:r>
        <w:t>In</w:t>
      </w:r>
      <w:proofErr w:type="spellEnd"/>
      <w:r>
        <w:t>: Tobin J. (</w:t>
      </w:r>
      <w:proofErr w:type="spellStart"/>
      <w:r>
        <w:t>ed</w:t>
      </w:r>
      <w:proofErr w:type="spellEnd"/>
      <w:r>
        <w:t xml:space="preserve">.) </w:t>
      </w:r>
      <w:proofErr w:type="spellStart"/>
      <w:r>
        <w:t>The</w:t>
      </w:r>
      <w:proofErr w:type="spellEnd"/>
      <w:r>
        <w:t xml:space="preserve"> UN </w:t>
      </w:r>
      <w:proofErr w:type="spellStart"/>
      <w:r>
        <w:t>Convention</w:t>
      </w:r>
      <w:proofErr w:type="spellEnd"/>
      <w:r>
        <w:t xml:space="preserve"> </w:t>
      </w:r>
      <w:proofErr w:type="spellStart"/>
      <w:r>
        <w:t>on</w:t>
      </w:r>
      <w:proofErr w:type="spellEnd"/>
      <w:r>
        <w:t xml:space="preserve"> </w:t>
      </w:r>
      <w:proofErr w:type="spellStart"/>
      <w:r>
        <w:t>the</w:t>
      </w:r>
      <w:proofErr w:type="spellEnd"/>
      <w:r>
        <w:t xml:space="preserve"> </w:t>
      </w:r>
      <w:proofErr w:type="spellStart"/>
      <w:r>
        <w:t>Rights</w:t>
      </w:r>
      <w:proofErr w:type="spellEnd"/>
      <w:r>
        <w:t xml:space="preserve"> </w:t>
      </w:r>
      <w:proofErr w:type="spellStart"/>
      <w:r>
        <w:t>of</w:t>
      </w:r>
      <w:proofErr w:type="spellEnd"/>
      <w:r>
        <w:t xml:space="preserve"> </w:t>
      </w:r>
      <w:proofErr w:type="spellStart"/>
      <w:r>
        <w:t>the</w:t>
      </w:r>
      <w:proofErr w:type="spellEnd"/>
      <w:r>
        <w:t xml:space="preserve"> </w:t>
      </w:r>
      <w:proofErr w:type="spellStart"/>
      <w:r>
        <w:t>Child</w:t>
      </w:r>
      <w:proofErr w:type="spellEnd"/>
      <w:r>
        <w:t xml:space="preserve">. A </w:t>
      </w:r>
      <w:proofErr w:type="spellStart"/>
      <w:r>
        <w:t>Commentary</w:t>
      </w:r>
      <w:proofErr w:type="spellEnd"/>
      <w:r>
        <w:t xml:space="preserve">. </w:t>
      </w:r>
      <w:proofErr w:type="spellStart"/>
      <w:r>
        <w:t>Oxford</w:t>
      </w:r>
      <w:proofErr w:type="spellEnd"/>
      <w:r>
        <w:t xml:space="preserve">: </w:t>
      </w:r>
      <w:proofErr w:type="spellStart"/>
      <w:r>
        <w:t>Oxford</w:t>
      </w:r>
      <w:proofErr w:type="spellEnd"/>
      <w:r>
        <w:t xml:space="preserve"> </w:t>
      </w:r>
      <w:proofErr w:type="spellStart"/>
      <w:r>
        <w:t>University</w:t>
      </w:r>
      <w:proofErr w:type="spellEnd"/>
      <w:r>
        <w:t xml:space="preserve">, 2019, p. 99). Bērna vislabāko interešu prioritātes princips nozīmē, ka attiecībā uz lēmumiem, kas tiek pieņemti tieši attiecībā uz bērnu, prioritāte piešķirama tam risinājumam, kas vislabāk nodrošina bērna tiesību un interešu ievērošanu. Savukārt gadījumos, kad lēmums tiek pieņemts, izsverot dažādas iesaistītās intereses, tostarp bērna intereses, ir jāņem vērā, ka bērna interesēm arī šādā gadījumā ir visaugstākā prioritāte. Taču tas pats par sevi nenozīmē, ka citas intereses nebūtu jāņem vērā. Šādā gadījumā ir jāatrod labākais līdzsvars starp visām iesaistītajām interesēm (sal. sk.: </w:t>
      </w:r>
      <w:proofErr w:type="spellStart"/>
      <w:r>
        <w:t>Eekelaar</w:t>
      </w:r>
      <w:proofErr w:type="spellEnd"/>
      <w:r>
        <w:t xml:space="preserve"> J., Tobin J. </w:t>
      </w:r>
      <w:proofErr w:type="spellStart"/>
      <w:r>
        <w:t>Article</w:t>
      </w:r>
      <w:proofErr w:type="spellEnd"/>
      <w:r>
        <w:t xml:space="preserve"> 3. </w:t>
      </w:r>
      <w:proofErr w:type="spellStart"/>
      <w:r>
        <w:t>The</w:t>
      </w:r>
      <w:proofErr w:type="spellEnd"/>
      <w:r>
        <w:t xml:space="preserve"> Best </w:t>
      </w:r>
      <w:proofErr w:type="spellStart"/>
      <w:r>
        <w:t>Interests</w:t>
      </w:r>
      <w:proofErr w:type="spellEnd"/>
      <w:r>
        <w:t xml:space="preserve"> </w:t>
      </w:r>
      <w:proofErr w:type="spellStart"/>
      <w:r>
        <w:t>of</w:t>
      </w:r>
      <w:proofErr w:type="spellEnd"/>
      <w:r>
        <w:t xml:space="preserve"> </w:t>
      </w:r>
      <w:proofErr w:type="spellStart"/>
      <w:r>
        <w:t>the</w:t>
      </w:r>
      <w:proofErr w:type="spellEnd"/>
      <w:r>
        <w:t xml:space="preserve"> </w:t>
      </w:r>
      <w:proofErr w:type="spellStart"/>
      <w:r>
        <w:t>Child</w:t>
      </w:r>
      <w:proofErr w:type="spellEnd"/>
      <w:r>
        <w:t xml:space="preserve">. </w:t>
      </w:r>
      <w:proofErr w:type="spellStart"/>
      <w:r>
        <w:t>In</w:t>
      </w:r>
      <w:proofErr w:type="spellEnd"/>
      <w:r>
        <w:t>: Tobin J. (</w:t>
      </w:r>
      <w:proofErr w:type="spellStart"/>
      <w:r>
        <w:t>ed</w:t>
      </w:r>
      <w:proofErr w:type="spellEnd"/>
      <w:r>
        <w:t xml:space="preserve">.) </w:t>
      </w:r>
      <w:proofErr w:type="spellStart"/>
      <w:r>
        <w:t>The</w:t>
      </w:r>
      <w:proofErr w:type="spellEnd"/>
      <w:r>
        <w:t xml:space="preserve"> UN </w:t>
      </w:r>
      <w:proofErr w:type="spellStart"/>
      <w:r>
        <w:t>Convention</w:t>
      </w:r>
      <w:proofErr w:type="spellEnd"/>
      <w:r>
        <w:t xml:space="preserve"> </w:t>
      </w:r>
      <w:proofErr w:type="spellStart"/>
      <w:r>
        <w:t>on</w:t>
      </w:r>
      <w:proofErr w:type="spellEnd"/>
      <w:r>
        <w:t xml:space="preserve"> </w:t>
      </w:r>
      <w:proofErr w:type="spellStart"/>
      <w:r>
        <w:t>the</w:t>
      </w:r>
      <w:proofErr w:type="spellEnd"/>
      <w:r>
        <w:t xml:space="preserve"> </w:t>
      </w:r>
      <w:proofErr w:type="spellStart"/>
      <w:r>
        <w:t>Rights</w:t>
      </w:r>
      <w:proofErr w:type="spellEnd"/>
      <w:r>
        <w:t xml:space="preserve"> </w:t>
      </w:r>
      <w:proofErr w:type="spellStart"/>
      <w:r>
        <w:t>of</w:t>
      </w:r>
      <w:proofErr w:type="spellEnd"/>
      <w:r>
        <w:t xml:space="preserve"> </w:t>
      </w:r>
      <w:proofErr w:type="spellStart"/>
      <w:r>
        <w:t>the</w:t>
      </w:r>
      <w:proofErr w:type="spellEnd"/>
      <w:r>
        <w:t xml:space="preserve"> </w:t>
      </w:r>
      <w:proofErr w:type="spellStart"/>
      <w:r>
        <w:t>Child</w:t>
      </w:r>
      <w:proofErr w:type="spellEnd"/>
      <w:r>
        <w:t xml:space="preserve">. A </w:t>
      </w:r>
      <w:proofErr w:type="spellStart"/>
      <w:r>
        <w:t>Commentary</w:t>
      </w:r>
      <w:proofErr w:type="spellEnd"/>
      <w:r>
        <w:t xml:space="preserve">. </w:t>
      </w:r>
      <w:proofErr w:type="spellStart"/>
      <w:r>
        <w:t>Oxford</w:t>
      </w:r>
      <w:proofErr w:type="spellEnd"/>
      <w:r>
        <w:t xml:space="preserve">: </w:t>
      </w:r>
      <w:proofErr w:type="spellStart"/>
      <w:r>
        <w:t>Oxford</w:t>
      </w:r>
      <w:proofErr w:type="spellEnd"/>
      <w:r>
        <w:t xml:space="preserve"> </w:t>
      </w:r>
      <w:proofErr w:type="spellStart"/>
      <w:r>
        <w:t>University</w:t>
      </w:r>
      <w:proofErr w:type="spellEnd"/>
      <w:r>
        <w:t xml:space="preserve">, 2019, </w:t>
      </w:r>
      <w:proofErr w:type="spellStart"/>
      <w:r>
        <w:t>pp</w:t>
      </w:r>
      <w:proofErr w:type="spellEnd"/>
      <w:r>
        <w:t xml:space="preserve">. 96–99; sk. arī ANO Bērna tiesību komitejas Vispārējā komentāra Nr. 14 (2013) par bērna tiesībām uz to, lai primārais apsvērums būtu viņu intereses (3. panta pirmā daļa) 39. punktu). </w:t>
      </w:r>
    </w:p>
    <w:p w14:paraId="73327F2F" w14:textId="77777777" w:rsidR="00262A15" w:rsidRDefault="00185D2D">
      <w:r>
        <w:t xml:space="preserve">[1.2] Konceptuāli pastāv vienota izpratne par to, ka valsts reakcija uz nepilngadīgo izdarītajiem pārkāpumiem prasa citus standartus un risinājumus, ka nepilngadīgo atbildības jēdziens ir atšķirīgs un ka šo atšķirību raksturs ir labvēlīgs tai personai, kura pārkāpusi likumu, - viņas vajadzībām atbilstošāks (sk. </w:t>
      </w:r>
      <w:proofErr w:type="spellStart"/>
      <w:r>
        <w:t>dr.</w:t>
      </w:r>
      <w:proofErr w:type="spellEnd"/>
      <w:r>
        <w:t xml:space="preserve"> iur. A. Judins “Atjaunojošā justīcija nepilngadīgo noziedzības kontekstā: Baltijas valstis Eiropas dimensijā” 8. lpp.). </w:t>
      </w:r>
    </w:p>
    <w:p w14:paraId="6222FCE3" w14:textId="2D70F54C" w:rsidR="00262A15" w:rsidRDefault="00185D2D">
      <w:r>
        <w:t xml:space="preserve">[1.3] Krimināllikuma 64. panta pirmā daļa noteic, ka Krimināllikuma VII nodaļas “Nepilngadīgā kriminālatbildības īpatnības” nosacījumi attiecas uz personu, kas līdz noziedzīgā nodarījuma izdarīšanai nav sasniegusi astoņpadsmit gadu vecumu. Vārds "nepilngadīgais" arī starptautiskajos dokumentos interpretēts tikpat plaši - Apvienoto Nāciju Organizācijas (turpmāk - ANO) </w:t>
      </w:r>
      <w:proofErr w:type="spellStart"/>
      <w:r>
        <w:t>Juvenālās</w:t>
      </w:r>
      <w:proofErr w:type="spellEnd"/>
      <w:r>
        <w:t xml:space="preserve"> justīcijas administrēšanas Minimālo standarta noteikumu (Pekinas noteikumi) 2.2 (a) punkts nosaka, ka nepilngadīgais ir bērns vai gados jauns cilvēks, uz kuru - atbilstoši konkrētajai tiesiskajai sistēmai - ir attiecināma cita kārtība nekā uz vecākām, proti - pieaugušām personām. ANO 1990. gada 14. decembra noteikumi “Nepilngadīgo, kuriem atņemta viņu brīvība, aizsardzībai” 11. punkts paredz, ka nepilngadīgais ir ikviena persona, kas nav sasniegusi astoņpadsmit gadu vecumu. Krimināllikuma 66. panta ceturtā daļa arī paredz labvēlīgāku soda noteikšanas iespējamību nepilngadīgajiem, proti, a persona pirms astoņpadsmit gadu vecuma sasniegšanas izdarījusi noziedzīgu nodarījumu, par ko šā likuma sevišķās daļas attiecīgā panta sankcijā noteikta piemērojamā brīvības atņemšanas soda minimālā robeža, tiesa var piespriest sodu, kas ir zemāks par šo minimālo robežu, arī gadījumos, ja tā atzinusi, ka noziedzīgais nodarījums izdarīts atbildību pastiprinošos apstākļos. Līdz ar to likumdevējs jau šobrīd ir paredzējis, ka personas, kas noziedzīgus nodarījumus veikušas, būdamas nepilngadīgas, un stājas tiesas priekšā pirms 18 gadu </w:t>
      </w:r>
      <w:r>
        <w:lastRenderedPageBreak/>
        <w:t xml:space="preserve">vecuma sasniegšanas faktiski atrodas identā stāvoklī ar personām, kas noziedzīgu rīcību īstenojušas pirms 18 gadu vecuma, taču notiesātas tiek jau kā pilngadīgas personas, nosakot tām kriminālsodu par izdarīto noziedzīgo nodarījumu. </w:t>
      </w:r>
    </w:p>
    <w:p w14:paraId="5734F162" w14:textId="77777777" w:rsidR="00262A15" w:rsidRDefault="00185D2D">
      <w:r>
        <w:t xml:space="preserve">[2.] Kriminālatbildība ir paredzēta tikai par smagākajiem un sabiedrībai bīstamākajiem nodarījumiem. Kriminālatbildība ir smagākais iespējamais juridiskās atbildības veids (sk. Krastiņš U., </w:t>
      </w:r>
      <w:proofErr w:type="spellStart"/>
      <w:r>
        <w:t>Liholaja</w:t>
      </w:r>
      <w:proofErr w:type="spellEnd"/>
      <w:r>
        <w:t xml:space="preserve"> V., Niedre A. Krimināltiesības. Vispārīgā daļa. Trešais papildinātais izdevums. Rīga: Tiesu namu aģentūra, 2008, 61. lpp.). Brīvības atņemšana kā pamatsods ir piespriežama tajos gadījumos, kad citādi nav iespējams sasniegt kriminālsoda mērķus, proti, aizsargāt sabiedrības drošību, atjaunot taisnīgumu, sodīt vainīgo personu par izdarīto noziedzīgo </w:t>
      </w:r>
      <w:proofErr w:type="spellStart"/>
      <w:r>
        <w:t>nodarjumu</w:t>
      </w:r>
      <w:proofErr w:type="spellEnd"/>
      <w:r>
        <w:t xml:space="preserve">, </w:t>
      </w:r>
      <w:proofErr w:type="spellStart"/>
      <w:r>
        <w:t>resocializēt</w:t>
      </w:r>
      <w:proofErr w:type="spellEnd"/>
      <w:r>
        <w:t xml:space="preserve"> sodīto personu un panākt, lai notiesātais un citas personas pildītu likumus un atturētos no noziedzīgu nodarījumu izdarīšanas (sk. Krimināllikuma 35. panta otro daļu). Krimināllikuma 46. pantā ietvertas svarīgas soda individualizācijas principa sastāvdaļas, kas ir saistītas ar taisnīguma principu (sk. </w:t>
      </w:r>
      <w:proofErr w:type="spellStart"/>
      <w:r>
        <w:t>Liholaja</w:t>
      </w:r>
      <w:proofErr w:type="spellEnd"/>
      <w:r>
        <w:t xml:space="preserve"> V. Komentārs Krimināllikuma 46. pantam. </w:t>
      </w:r>
      <w:proofErr w:type="spellStart"/>
      <w:r>
        <w:t>Grām</w:t>
      </w:r>
      <w:proofErr w:type="spellEnd"/>
      <w:r>
        <w:t xml:space="preserve">.: Krimināllikuma komentāri. Pirmā daļa. Otrais papildinātais izdevums. Rīga: Tiesu namu aģentūra, 2018, 197. lpp.). No minētā izriet, ka, piemērojot kriminālatbildību, svarīga kriminālsoda sastāvdaļa ir individuāla soda piemērošana. Tādejādi ja soda piemērošanā tiek ievērota individualizācija atkarībā no dažādiem faktoriem, tā ir piemērojama arī kriminālsodu izpildes sistēmā, nodrošinot pilnvērtīgu un jēgpilnu notiesāto resocializāciju atbilstoši katras ar brīvības atņemšanu sodītas personas kriminogēnajām vajadzībām. </w:t>
      </w:r>
    </w:p>
    <w:p w14:paraId="6AF51C10" w14:textId="5FDC5556" w:rsidR="00262A15" w:rsidRDefault="00185D2D">
      <w:r>
        <w:t xml:space="preserve">[3.] </w:t>
      </w:r>
      <w:proofErr w:type="spellStart"/>
      <w:r>
        <w:t>Kriminālikuma</w:t>
      </w:r>
      <w:proofErr w:type="spellEnd"/>
      <w:r>
        <w:t xml:space="preserve"> 64. panta trešajā daļā īpaši tiek uzsvērts, ka attiecībā uz nepilngadīgo primārais soda mērķis ir nepilngadīgā resocializācija, jo ir pierādīts, ka vairākums nepilngadīgo, nobriestot personībai un izaugot par pieaugušiem cilvēkiem, pārtrauc </w:t>
      </w:r>
      <w:proofErr w:type="spellStart"/>
      <w:r>
        <w:t>likumpārkāpjošo</w:t>
      </w:r>
      <w:proofErr w:type="spellEnd"/>
      <w:r>
        <w:t xml:space="preserve"> uzvedību. Vairākumam nepilngadīgo problemātiska uzvedība ir pārejoša, tādēļ sods bez resocializācijas var potenciāli negatīvi ietekmēt nepilngadīgā identitāti un pašapziņu, kas ir nepieciešama sekmīgai attīstībai. Izmantotās darba metodes, kas neietver </w:t>
      </w:r>
      <w:proofErr w:type="spellStart"/>
      <w:r>
        <w:t>resocializaciju</w:t>
      </w:r>
      <w:proofErr w:type="spellEnd"/>
      <w:r>
        <w:t xml:space="preserve">, kavē veselīgu pusaudža attīstību, tās parasti ir vāji attīstītas un vāji pamatotas prakses un ilgtermiņā ir finansiāli dārgas. Atšķirības starp pieaugušajiem un nepilngadīgajiem, kā arī straujās pārmaiņas, kas norit pusaudžu gados, ir būtisks pamats plašam uzvedības problēmu klāstam un ir vissvarīgākais iemesls, lai varētu izvelēties attiecīgajam nepilngadīgajam visefektīvāko resocializācijas veidu. Sodam un izolācijai bez resocializācijas iespējas var būt kaitīga ietekme uz jaunieša </w:t>
      </w:r>
      <w:proofErr w:type="spellStart"/>
      <w:r>
        <w:t>prosociālu</w:t>
      </w:r>
      <w:proofErr w:type="spellEnd"/>
      <w:r>
        <w:t xml:space="preserve"> attīstību. Izolācija nesniedz iespēju izveidot pozitīvas vienaudžu attiecības, iesaistīšanos attīstošās aktivitātēs; ierobežo izglītības iegūšanu un darba iespējas; tādējādi iespējami veicina pazemošanu, noraidījumu, sociālo atsvešinātību, </w:t>
      </w:r>
      <w:proofErr w:type="spellStart"/>
      <w:r>
        <w:t>stigmatizāciju</w:t>
      </w:r>
      <w:proofErr w:type="spellEnd"/>
      <w:r>
        <w:t xml:space="preserve"> un nestabilitāti visas turpmākās dzīves garumā. Resocializācijas pieejas uzsver, ka nepilngadība ir tas laiks cilvēka dzīvē, kad ir vislielākās iespējas gūt pozitīvus rezultātus uzvedības maiņai. Lai mazinātu negatīvos izolācijas efektus, piemēram, iespējamo kontaktu veidošanu ar antisociāliem vienaudžiem un pakļaušanu negatīvām ietekmēm, un lai palielinātu iespējas iesaistīties sociāli vēlamās aktivitātēs un gūt pozitīvu ģimenes atbalstu vai cita veida atbalstu, individuāli pielāgotas resocializācijas iespējas ir </w:t>
      </w:r>
      <w:r>
        <w:lastRenderedPageBreak/>
        <w:t xml:space="preserve">jāpiedāvā iespējami mazāk ierobežojošās un slēgtās vidēs, ņemot vērā attiecīgā nepilngadīgā risku, vajadzības un sabiedrības drošību (sk. Likumprojekta "Grozījuma Krimināllikuma" (Nr. 357/Lp13) anotāciju). Arī Tieslietu ministrija, īstenojot nepilngadīgo kriminālatbildības reformu, uzsvērusi nepieciešamību veicināt jauniešu veiksmīgāku integrāciju sabiedrībā, "lai reaģētu uz bērna problēmām un tās risinātu soda ietvarā, lai bērnu neizolētu no sabiedrības, bet gan panāktu bērnā tādu uzvedības modeli, kas atbilst vispārējām sabiedrības tikumības, morāles un likuma normām" (sk. Tieslietu ministrijas 2020. gada 6. oktobra vēstuli Nr. 1-24/3185). Bērnu tiesvedības sistēma būtu jāpiemēro visiem bērniem, kuri ir sasnieguši minimālo vecumu, no kura iestājas kriminālatbildība, bet nav sasnieguši 18 gadu vecumu nodarījuma izdarīšanas brīdī. (sk. ANO Bērnu tiesību komitejas Vispārējais komentārs Nr. 24 (2019) par bērnu tiesībām bērnu tieslietu sistēmā 29. punktu). Bērnu tiesību konvencijas 37. panta b) apakšpunkts nosaka, ka dalībvalstis nodrošina to, ka nevienam bērnam nelikumīgi vai patvaļīgi netiek atņemta brīvība. Bērna apcietināšanai, aizturēšanai vai ieslodzīšanai cietumā jānotiek saskaņā ar likumu, un tas jāizmanto tikai kā galējas nepieciešamības līdzeklis un uz iespējami īsāku laiku. </w:t>
      </w:r>
    </w:p>
    <w:p w14:paraId="3B8C140B" w14:textId="03F53875" w:rsidR="00F6647F" w:rsidRDefault="00185D2D">
      <w:r>
        <w:t xml:space="preserve">[4.] Praksē ļoti bieži gadās situācijas, kad kriminālprocess tiek uzsākts pret personu par noziedzīgiem nodarījumiem, ko persona veikusi pirms astoņpadsmit gadu vecuma sasniegšanas, taču sodīta persona tiek tikai pēc astoņpadsmit gadu vecuma sasniegšanas. Tiesību akti personu, kas noziedzīgu nodarījumu veic pirms astoņpadsmit gadu vecuma sasniegšanas, juridiski nostāda līdzvērtīgā stāvoklī neatkarīgi no personas vecuma, stājoties tiesas priekšā. Tikai tādēļ, ka kriminālprocess ievelkas, ka procesa virzītāji nav spējīgi tos laicīgi pabeigt, vai tikai fakts, ka persona kļūst pilngadīga, nevar veicināt apstākli to stāvokļa pasliktināšanai kriminālsodu izpildes sistēmā kā tas ir šobrīd. Likumprojekts paredz, ka personas, kas no audzināšanas iestādēm nepilngadīgajiem tiks pārvietotas uz “pieaugušo ieslodzījuma vietām”, varēs nonākt uzreiz daļēji slēgtā cietuma soda izciešanas režīma augstākajā pakāpē vai pat atklātajā cietumā, kamēr personas, kas tiek notiesātas par noziedzīgiem nodarījumiem, kas izdarīti pirms astoņpadsmit gadu vecuma, bet tiek sodītas esot pilngadīgas, soda izciešanu uzsāks izciest daļēji slēgtā cietuma soda izciešanas režīma zemākajā pakāpē, proti, viszemākajā soda progresīvās izpildes sistēmas posmā. Persona, kas jau kļuvusi pilngadīga, bet likumpārkāpumu izdarījusi pirms 18 gadiem, atrodas nevienlīdzīgākā situācijā, nekā tāda pati persona, kas vēl ir nepilngadīga, bet, piemēram, drīz kļūs pilngadīga. Jauniešu justīcijai būtu jābūt attiecināmai identiski uz visām personām, jo konkrētajā gadījumā plānotais tiesiskais regulējums, pat ja nepilngadīgai personai pēc dažām dienām vai nedēļām paliks 18 gadi, ir plānots daudz labvēlīgāks regulējums, nekā personai, kas nesen kļuvusi pilngadīga. Proti, nav saprotams, kādēļ iespēja turpināt soda izciešanu nepilngadīgajiem ir jau pat atklātajā cietumā dažus mēnešus no soda izciešanas, ja notiesātais nepretendēs uz nosacītu pirmstermiņa atbrīvošanu no soda izciešanas, vai slēgtā cietuma soda izciešanas režīma augstākajā pakāpē, ja notiesātā uzvedība ir </w:t>
      </w:r>
      <w:proofErr w:type="spellStart"/>
      <w:r>
        <w:t>neapmierinošana</w:t>
      </w:r>
      <w:proofErr w:type="spellEnd"/>
      <w:r>
        <w:t xml:space="preserve"> vai nav iespējams viņu atbrīvot nosacīti pirms termiņa no soda izciešanas. Kodekss paredz, ka soda izciešanas </w:t>
      </w:r>
      <w:r>
        <w:lastRenderedPageBreak/>
        <w:t xml:space="preserve">režīma zemākajā pakāpē jāizcieš ne mazāk kā ¼ no soda un ka ne mazāk kā ¼ no soda jāizcieš soda izciešanas režīma augstākajā pakāpē. Tādējādi dažas personas apzināti tiek pavirzītas uz priekšu soda progresīvās izpildes sistēmā, kam nav racionāla skaidrojuma. Kā jau minēts iepriekš, nav saprotams, kādā veidā personas, kas noziedzīgus nodarījumus veic, esot nepilngadīgas, un tiek notiesātas, esot nepilngadīgas, atšķiras no personām, kas noziegumus veic pirms 18 gadu vecuma sasniegšanas, bet tiek notiesātas, jau esot pilngadīgas. Pirmā tipa personas var kļūt pilngadīgas pēc dažām nedēļām vai mēnešiem, tik pārvietotas uz atklātā tipa cietumu vai uz soda izciešanas režīma augstāko pakāpi un būt tālākā soda progresīvās izpildes sistēmas posmā nekā otrā tipa personas. Tā kā kriminālsodu noteikšanas politika paredz praktiski identu kriminālsoda noteikšanu </w:t>
      </w:r>
      <w:proofErr w:type="spellStart"/>
      <w:r>
        <w:t>aba</w:t>
      </w:r>
      <w:proofErr w:type="spellEnd"/>
      <w:r>
        <w:t xml:space="preserve"> tipa personām, nav saprotams, kādēļ citāda attieksme ir pieļaujama, izpildot kriminālsodu. </w:t>
      </w:r>
    </w:p>
    <w:p w14:paraId="2AB500D3" w14:textId="77777777" w:rsidR="00F6647F" w:rsidRDefault="00185D2D">
      <w:r>
        <w:t xml:space="preserve">[5.] Ir būtiski atzīmēt, ka arī to personu tiesības, kuras noziedzīgu nodarījumu izdara, būdamas nepilngadīgas, aizsargā bērna vislabāko interešu prioritātes princips. Iespējams, ka šādā vecumā bērns vēl nav sasniedzis pietiekamu brieduma pakāpi un līdz ar to arī pienācīgu izpratni par savas rīcības sekām (sk. Satversmes tiesas 2021. gada 25. marta sprieduma lietā Nr. 2020-36-01 19.3.2. punktu). No Satversmes tiesas judikatūras neizriet, ka bērnu vislabāko interešu prioritātes princips attiecināms tikai uz personām, kas noziedzīgus nodarījumus veikušas, būdamas nepilngadīgas, un kas tiek notiesātas, esot nepilngadīgas, bet arī ir attiecināms uz personām, kas noziedzīgu rīcību īsteno pirms 18 gadu vecuma sasniegšanas, bet tiek notiesātas, esot pilngadīgas. Proti, Satversmes 110. pants aizsargā abas šīs personu grupas, jo bērns nav sasniedzis pietiekamu brieduma pakāpi. Bērnu justīcijas sistēmai būtu jāattiecina aizsardzība arī uz bērniem, kuri noziedzīgā nodarījuma izdarīšanas laikā bija jaunāki par 18 gadiem, bet kuri tiesas procesa vai sprieduma pasludināšanas laikā sasniedz 18 gadu vecumu (sk. ANO Bērnu tiesību komitejas Vispārējais komentārs Nr. 24 (2019) par bērnu tiesībām bērnu tieslietu sistēmā 29. 31 punktu). Līdz ar to arī starptautiskās saistības paredz, ka jauniešu </w:t>
      </w:r>
      <w:proofErr w:type="spellStart"/>
      <w:r>
        <w:t>justīcījai</w:t>
      </w:r>
      <w:proofErr w:type="spellEnd"/>
      <w:r>
        <w:t xml:space="preserve"> būtu jābūt attiecināmai ne tikai uz nepilngadīgām personām, bet arī uz personām, kas noziedzīgus nodarījumus veic, esot nepilngadīgas, bet tiek notiesātas, esot pilngadīgas. Piemēram, kriminālprocess Nr. 11817005016 ir uzsākts 2016. gada 11. jūlijā, proti, laikā, kad krimināllietas notiesātais vēl bija nepilngadīgs. Pirmo reizi uz procesuālajām darbībām notiesātais tika uzaicināts tikai 2 gadus vēlāk - 2018. gada 19. jūlijā - laikā, kad persona jau bija sasniegusi 18 gadu vecumu. Tādejādi persona pati nevar ietekmēt to, kad tai nāksies stāties tiesas priekšā, bet tas ir procesa virzītāju, noziedzīgā nodarījuma, kriminālprocesa rakstura un citu jautājumu sekas. Viens no veidiem kā jauniešu </w:t>
      </w:r>
      <w:proofErr w:type="spellStart"/>
      <w:r>
        <w:t>justīcīju</w:t>
      </w:r>
      <w:proofErr w:type="spellEnd"/>
      <w:r>
        <w:t xml:space="preserve"> padarīt jauniešiem </w:t>
      </w:r>
      <w:proofErr w:type="spellStart"/>
      <w:r>
        <w:t>pretīmnākošu</w:t>
      </w:r>
      <w:proofErr w:type="spellEnd"/>
      <w:r>
        <w:t xml:space="preserve">, to balstot uz “atjaunojošās </w:t>
      </w:r>
      <w:proofErr w:type="spellStart"/>
      <w:r>
        <w:t>justīcījas</w:t>
      </w:r>
      <w:proofErr w:type="spellEnd"/>
      <w:r>
        <w:t xml:space="preserve">” pamatprincipiem, kāds arī ir bijis Tieslietu ministrijas mērķis, izstrādājot nepilngadīgo kriminālatbildības reformu, ir veicināt vienveidīgu kriminālsodu izpildes sistēmu attiecībā uz visām personām, kas noziedzīgus nodarījumus veikušas, būdamas nepilngadīgas, neatkarīgi no tā, kad tās ir sākušas izciest kriminālsodu. </w:t>
      </w:r>
    </w:p>
    <w:p w14:paraId="4D1279A0" w14:textId="77777777" w:rsidR="00494084" w:rsidRDefault="00185D2D">
      <w:r>
        <w:lastRenderedPageBreak/>
        <w:t xml:space="preserve">[6.] Ilustrācijai uzskatu par iespējamu veikt dažādu piemēru analīzi, kādas situācijas būs iespējamas praksē, ja tiks pieņemti minēti Kodeksa grozījumi. </w:t>
      </w:r>
    </w:p>
    <w:p w14:paraId="5E8668B5" w14:textId="77777777" w:rsidR="00494084" w:rsidRDefault="00185D2D">
      <w:r>
        <w:t xml:space="preserve">[6.1] Bērns tiek sodīts par sevišķi smagiem noziedzīgiem nodarījumiem un, esot 17 gadus vecs, uzsāk izciest 8 gadu brīvības atņemšanas sodu. Dažus mēnešus vēlāk jaunietis nosvin savu dzimšanas dienu, ir ieguvis izglītību, nevēlas turpināt mācības, nevēlas pretendēt uz nosacītu pirmstermiņa atbrīvošanu no soda izciešanas. Viņu ar izvērtēšanas komisijas lēmumu pārvieto uz atklāto cietumu, neizciešot pat 1 gadu no brīvības atņemšanas soda. </w:t>
      </w:r>
    </w:p>
    <w:p w14:paraId="768940DD" w14:textId="77777777" w:rsidR="00494084" w:rsidRDefault="00185D2D">
      <w:r>
        <w:t xml:space="preserve">[6.2] Bērns tiek sodīts par sevišķi smagiem noziedzīgiem nodarījumiem, un, esot 17 gadus vecs, uzsāk izciest 8 gadu brīvības atņemšanas sodu. Dažus mēnešus vēlāk jaunietis nosvin savu dzimšanas dienu, uzvedas haotiski un traucē citiem notiesātājiem resocializācijas procesa gaitas. Viņu ar izvērtēšanas komisijas lēmumu pārvieto uz slēgtā cietuma soda </w:t>
      </w:r>
      <w:proofErr w:type="spellStart"/>
      <w:r>
        <w:t>izciešansa</w:t>
      </w:r>
      <w:proofErr w:type="spellEnd"/>
      <w:r>
        <w:t xml:space="preserve"> režīma augstāko pakāpi, neizciešot pat 1 gadu no brīvības atņemšanas soda. </w:t>
      </w:r>
    </w:p>
    <w:p w14:paraId="790736C6" w14:textId="7216D7EC" w:rsidR="00494084" w:rsidRDefault="00185D2D">
      <w:r>
        <w:t xml:space="preserve">[6.3] Bērns tiek sodīts par </w:t>
      </w:r>
      <w:proofErr w:type="spellStart"/>
      <w:r>
        <w:t>sevišķio</w:t>
      </w:r>
      <w:proofErr w:type="spellEnd"/>
      <w:r>
        <w:t xml:space="preserve"> smagiem noziedzīgiem nodarījumiem, un, esot 18 gadus vecs, uzsāk izciest 8 gadu brīvības atņemšanas sodu. Jaunietis sodu uzsāk izciest slēgtā cietuma soda izciešanas režīma zemākajā pakāpē, kurā viņam jāpavada 2 gadi, lai pretendētu uz augstāko režīma pakāpi un vēl 2 gadi, lai pretendētu uz atklāto cietumu. Proti, lai pretendētu uz atklāto cietumu, ir nepieciešams izciest vismaz 4 gadus no brīvības atņemšanas soda. </w:t>
      </w:r>
    </w:p>
    <w:p w14:paraId="76618BDE" w14:textId="0A8A5C65" w:rsidR="00185D2D" w:rsidRDefault="00185D2D">
      <w:r>
        <w:t xml:space="preserve">[6.4] Līdz ar to faktiski tikai dažu dienu starpība praksē var rast daudz dažādas situācijas, kas nav samērīgas ar nepilngadīgā kriminālsodu izpildes pamatmērķi - notiesātā resocializāciju. Ir pierādīts, ka vairākums nepilngadīgo, nobriestot personībai un izaugot par pieaugušiem cilvēkiem, pārtrauc </w:t>
      </w:r>
      <w:proofErr w:type="spellStart"/>
      <w:r>
        <w:t>likumpārkāpjošo</w:t>
      </w:r>
      <w:proofErr w:type="spellEnd"/>
      <w:r>
        <w:t xml:space="preserve"> uzvedību. Vairākumam nepilngadīgo problemātiska uzvedība ir pārejoša, tādēļ sods bez resocializācijas var potenciāli negatīvi ietekmēt nepilngadīgā identitāti un pašapziņu, kas ir nepieciešama sekmīgai attīstībai. Lai mazinātu negatīvos izolācijas efektus, piemēram, iespējamo kontaktu veidošanu ar antisociāliem vienaudžiem un pakļaušanu negatīvām ietekmēm, un lai palielinātu iespējas iesaistīties sociāli vēlamās aktivitātēs un gūt pozitīvu ģimenes atbalstu vai cita veida atbalstu, individuāli pielāgotas resocializācijas iespējas ir jāpiedāvā iespējami mazāk ierobežojošās un slēgtās vidēs, ņemot vērā attiecīgā nepilngadīgā risku, vajadzības un sabiedrības drošību (sk. Likumprojekta "Grozījuma Krimināllikuma" (Nr. 357/Lp13) anotāciju). Tieši notiesātā resocializācija ir pilnvērtīgākā atklātajos cietumos, jo notiesātājiem ir plašākas iespējas strādāt, mācīties, iegūt, piemēram, augstāko izglītību, komunicēt ar cilvēkiem, kuriem ir augsti resocializācijas rezultāti salīdzinājumā ar cilvēkiem, kuri izcieš kriminālsodu slēgtajā cietumā. Lai veicinātu līdzvērtīgu pieeju visiem jauniešiem par noziedzīgiem nodarījumiem, ko tie veikuši, esot nepilngadīgi, uzskatu par iespējamu arī tām personām, kas noziedzīgus nodarījumus veikušas, esot nepilngadīgas, bet brīvības atņemšanas sodu uzsākušas izciest, esot pilngadīgas, iespēju arī tikt pārvietotām uz slēgtā cietuma augstāko režīma pakāpi vai uz atklāto cietumu, vai arī atstājot slēgtā cietuma soda izciešanas režīma </w:t>
      </w:r>
      <w:r>
        <w:lastRenderedPageBreak/>
        <w:t xml:space="preserve">zemākajā pakāpē, ja notiesātā uzvedība ir destruktīva un neatbilstoša sabiedrībā pastāvošajām normām, kā arī ja tas ir nepieciešams, lai risinātu notiesātā kriminogēnās uzvedības vajadzības. Izvērtēšanas komisijai 6 mēnešu laiks būtu pietiekams, lai veiktu notiesātā risku un vajadzību novērtējumu, izvērtētu resocializācijas pasākumu nepieciešamību, notiesātā motivāciju strādāt ar saviem riskiem un kriminogēno uzvedību, kā arī lai izvērtētu, kura konkrētā soda izciešanas režīma pakāpe vai cietuma tips veicinās pēc iespējas veiksmīgāku jaunieša resocializāciju, lai sasniegtu kriminālsoda izpildes mērķus, un pēc iespējas veiksmīgāk veicinās jaunieša integrāciju sabiedrībā. Līdz ar to uzskatu, ka Likumprojekts nostāda personas, kas noziedzīgu rīcību īstenojušas, esot nepilngadīgas, bet tiek tiesātas, jau esot pilngadīgas, nevienlīdzīgākā situācijā, kurai nav leģitīms mērķis un ka šāda rīcība nav samērīga, ir neatbilstoša Latvijas starptautiskajām saistībām un Satversmes 91. panta pirmajam teikumam un 110. pantam. </w:t>
      </w:r>
    </w:p>
    <w:p w14:paraId="0E2FFE6B" w14:textId="77777777" w:rsidR="00185D2D" w:rsidRDefault="00185D2D">
      <w:r>
        <w:t>Līdz ar to lūdzu papildināt Kodeksa 50.</w:t>
      </w:r>
      <w:r>
        <w:rPr>
          <w:vertAlign w:val="superscript"/>
        </w:rPr>
        <w:t>18</w:t>
      </w:r>
      <w:r>
        <w:t xml:space="preserve"> pantu ar 4.</w:t>
      </w:r>
      <w:r>
        <w:rPr>
          <w:vertAlign w:val="superscript"/>
        </w:rPr>
        <w:t>1</w:t>
      </w:r>
      <w:r>
        <w:t xml:space="preserve">daļu šādā reakcijā: </w:t>
      </w:r>
    </w:p>
    <w:p w14:paraId="4BFD49A2" w14:textId="77777777" w:rsidR="00185D2D" w:rsidRDefault="00185D2D">
      <w:r>
        <w:t xml:space="preserve">Par soda izciešanas režīma noteikšanu notiesātājiem, kas noziedzīgus nodarījumus izdarījuši, esot nepilngadīgi, bet uzsākuši brīvības atņemšanas soda izciešanu, esot pilngadīgi, 6 mēnešu laikā no brīvības atņemšanas soda izpildes uzsākšanas, izvērtēšanas komisija var pieņemt šādus lēmumus: </w:t>
      </w:r>
    </w:p>
    <w:p w14:paraId="1C075361" w14:textId="77777777" w:rsidR="00185D2D" w:rsidRDefault="00185D2D">
      <w:r>
        <w:t xml:space="preserve">1) atstāt notiesāto slēgtā cietuma soda izciešanas režīma zemākajā pakāpē; </w:t>
      </w:r>
    </w:p>
    <w:p w14:paraId="564411EB" w14:textId="77777777" w:rsidR="00185D2D" w:rsidRDefault="00185D2D">
      <w:r>
        <w:t xml:space="preserve">2) pārvietot notiesāto no slēgtā cietuma soda izciešanas režīma zemākās pakāpes uz slēgtā cietuma soda izciešanas režīma augstāko pakāpi; </w:t>
      </w:r>
    </w:p>
    <w:p w14:paraId="08C45DAA" w14:textId="60166596" w:rsidR="00946F96" w:rsidRPr="00946F96" w:rsidRDefault="00185D2D">
      <w:r>
        <w:t>3) pārvietot notiesāto no slēgtā cietuma soda izciešanas režīma zemākās pakāpes uz atklāto cietumu.</w:t>
      </w:r>
      <w:r w:rsidR="00946F96" w:rsidRPr="00946F96">
        <w:t>"</w:t>
      </w:r>
    </w:p>
    <w:sectPr w:rsidR="00946F96" w:rsidRPr="00946F96">
      <w:headerReference w:type="default" r:id="rId7"/>
      <w:footerReference w:type="default" r:id="rId8"/>
      <w:headerReference w:type="first" r:id="rId9"/>
      <w:footerReference w:type="first" r:id="rId10"/>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A4BA1" w14:textId="77777777" w:rsidR="002E7BEA" w:rsidRDefault="002E7BEA">
      <w:r>
        <w:separator/>
      </w:r>
    </w:p>
  </w:endnote>
  <w:endnote w:type="continuationSeparator" w:id="0">
    <w:p w14:paraId="5E793527" w14:textId="77777777" w:rsidR="002E7BEA" w:rsidRDefault="002E7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8D6F0" w14:textId="5A00B171" w:rsidR="0046716C" w:rsidRDefault="00091800">
    <w:pPr>
      <w:jc w:val="right"/>
    </w:pPr>
    <w:r>
      <w:rPr>
        <w:sz w:val="24"/>
        <w:szCs w:val="24"/>
      </w:rPr>
      <w:fldChar w:fldCharType="begin"/>
    </w:r>
    <w:r>
      <w:rPr>
        <w:sz w:val="24"/>
        <w:szCs w:val="24"/>
      </w:rPr>
      <w:instrText>PAGE</w:instrText>
    </w:r>
    <w:r>
      <w:rPr>
        <w:sz w:val="24"/>
        <w:szCs w:val="24"/>
      </w:rPr>
      <w:fldChar w:fldCharType="separate"/>
    </w:r>
    <w:r w:rsidR="00440610">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7D15A" w14:textId="77777777" w:rsidR="00C237B3" w:rsidRDefault="000918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06556" w14:textId="77777777" w:rsidR="002E7BEA" w:rsidRDefault="002E7BEA">
      <w:r>
        <w:separator/>
      </w:r>
    </w:p>
  </w:footnote>
  <w:footnote w:type="continuationSeparator" w:id="0">
    <w:p w14:paraId="7AB29521" w14:textId="77777777" w:rsidR="002E7BEA" w:rsidRDefault="002E7B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66235" w14:textId="77777777" w:rsidR="0046716C" w:rsidRDefault="00091800">
    <w:pPr>
      <w:pStyle w:val="Galvene"/>
      <w:contextualSpacing w:val="0"/>
    </w:pPr>
    <w:r>
      <w:t>Viedokļu pārskats 22-TA-3178</w:t>
    </w:r>
    <w:r>
      <w:br/>
      <w:t>Izdrukāts 13.01.2023. 14.13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019C1" w14:textId="77777777" w:rsidR="0046716C" w:rsidRDefault="00091800">
    <w:pPr>
      <w:pStyle w:val="Galvene"/>
      <w:contextualSpacing w:val="0"/>
    </w:pPr>
    <w:r>
      <w:t>Viedokļu pārskats 22-TA-3178</w:t>
    </w:r>
    <w:r>
      <w:br/>
      <w:t>Izdrukāts 13.01.2023. 14.13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16C"/>
    <w:rsid w:val="0002231C"/>
    <w:rsid w:val="00051AB2"/>
    <w:rsid w:val="00070E25"/>
    <w:rsid w:val="00091800"/>
    <w:rsid w:val="000B3C4B"/>
    <w:rsid w:val="000E4CBA"/>
    <w:rsid w:val="000F024A"/>
    <w:rsid w:val="00122045"/>
    <w:rsid w:val="00140564"/>
    <w:rsid w:val="00185D2D"/>
    <w:rsid w:val="00187AD0"/>
    <w:rsid w:val="001E2C9B"/>
    <w:rsid w:val="002132A0"/>
    <w:rsid w:val="00262A15"/>
    <w:rsid w:val="00290471"/>
    <w:rsid w:val="002A2864"/>
    <w:rsid w:val="002D07D5"/>
    <w:rsid w:val="002E2988"/>
    <w:rsid w:val="002E7BEA"/>
    <w:rsid w:val="00440610"/>
    <w:rsid w:val="0046716C"/>
    <w:rsid w:val="00494084"/>
    <w:rsid w:val="004B5695"/>
    <w:rsid w:val="004F277D"/>
    <w:rsid w:val="00510DA2"/>
    <w:rsid w:val="00534A23"/>
    <w:rsid w:val="005450AA"/>
    <w:rsid w:val="00562DA3"/>
    <w:rsid w:val="00573939"/>
    <w:rsid w:val="006378D0"/>
    <w:rsid w:val="006444AC"/>
    <w:rsid w:val="006B5D09"/>
    <w:rsid w:val="00710E87"/>
    <w:rsid w:val="007522C6"/>
    <w:rsid w:val="0078219F"/>
    <w:rsid w:val="007933AB"/>
    <w:rsid w:val="007D52BF"/>
    <w:rsid w:val="0082785A"/>
    <w:rsid w:val="00834357"/>
    <w:rsid w:val="008355A7"/>
    <w:rsid w:val="0084525E"/>
    <w:rsid w:val="00847942"/>
    <w:rsid w:val="00934B38"/>
    <w:rsid w:val="00946F96"/>
    <w:rsid w:val="009610C0"/>
    <w:rsid w:val="00994E8C"/>
    <w:rsid w:val="00A01133"/>
    <w:rsid w:val="00A372FA"/>
    <w:rsid w:val="00A514BB"/>
    <w:rsid w:val="00A71768"/>
    <w:rsid w:val="00A83FB5"/>
    <w:rsid w:val="00AB18B5"/>
    <w:rsid w:val="00AC4E5D"/>
    <w:rsid w:val="00B27C17"/>
    <w:rsid w:val="00BA2192"/>
    <w:rsid w:val="00BF3C53"/>
    <w:rsid w:val="00C237B3"/>
    <w:rsid w:val="00C34117"/>
    <w:rsid w:val="00C437DC"/>
    <w:rsid w:val="00CE36AD"/>
    <w:rsid w:val="00DC0DAE"/>
    <w:rsid w:val="00DF577E"/>
    <w:rsid w:val="00E05103"/>
    <w:rsid w:val="00E27B2C"/>
    <w:rsid w:val="00E44FC4"/>
    <w:rsid w:val="00EA6D20"/>
    <w:rsid w:val="00EB580C"/>
    <w:rsid w:val="00EE3F36"/>
    <w:rsid w:val="00F14262"/>
    <w:rsid w:val="00F6647F"/>
    <w:rsid w:val="00F743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D059B"/>
  <w15:docId w15:val="{D1B226F1-CFAF-4778-A475-17399D645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sz w:val="24"/>
    </w:rPr>
  </w:style>
  <w:style w:type="paragraph" w:styleId="Virsraksts4">
    <w:name w:val="heading 4"/>
    <w:basedOn w:val="Parasts"/>
    <w:next w:val="Parasts"/>
    <w:uiPriority w:val="9"/>
    <w:semiHidden/>
    <w:unhideWhenUsed/>
    <w:qFormat/>
    <w:pPr>
      <w:spacing w:before="120" w:after="120"/>
      <w:contextualSpacing/>
      <w:outlineLvl w:val="3"/>
    </w:pPr>
    <w:rPr>
      <w:rFonts w:ascii="Palatino" w:eastAsia="Palatino" w:hAnsi="Palatino" w:cs="Palatino"/>
      <w:b/>
      <w:sz w:val="24"/>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pPr>
      <w:spacing w:line="644" w:lineRule="auto"/>
    </w:pPr>
    <w:tblPr>
      <w:tblCellMar>
        <w:top w:w="0" w:type="dxa"/>
        <w:left w:w="0" w:type="dxa"/>
        <w:bottom w:w="0" w:type="dxa"/>
        <w:right w:w="0" w:type="dxa"/>
      </w:tblCellMar>
    </w:tblPr>
  </w:style>
  <w:style w:type="paragraph" w:styleId="Nosaukums">
    <w:name w:val="Title"/>
    <w:basedOn w:val="Parasts"/>
    <w:next w:val="Parasts"/>
    <w:uiPriority w:val="10"/>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rPr>
  </w:style>
  <w:style w:type="paragraph" w:customStyle="1" w:styleId="paragraph">
    <w:name w:val="paragraph"/>
    <w:basedOn w:val="Parasts"/>
    <w:next w:val="Parasts"/>
    <w:pPr>
      <w:contextualSpacing/>
    </w:pPr>
  </w:style>
  <w:style w:type="paragraph" w:customStyle="1" w:styleId="paragraphheader">
    <w:name w:val="paragraph_header"/>
    <w:basedOn w:val="Parasts"/>
    <w:next w:val="Parasts"/>
    <w:pPr>
      <w:spacing w:before="280" w:after="280"/>
      <w:contextualSpacing/>
    </w:pPr>
  </w:style>
  <w:style w:type="paragraph" w:styleId="Galvene">
    <w:name w:val="header"/>
    <w:basedOn w:val="Parasts"/>
    <w:next w:val="Parasts"/>
    <w:pPr>
      <w:spacing w:after="280"/>
      <w:contextualSpacing/>
      <w:jc w:val="right"/>
    </w:pPr>
    <w:rPr>
      <w:sz w:val="24"/>
    </w:rPr>
  </w:style>
  <w:style w:type="paragraph" w:customStyle="1" w:styleId="signeddocumentparagraph">
    <w:name w:val="signed_document_paragraph"/>
    <w:basedOn w:val="Parasts"/>
    <w:next w:val="Parasts"/>
    <w:pPr>
      <w:contextualSpacing/>
      <w:jc w:val="right"/>
    </w:pPr>
    <w:rPr>
      <w:sz w:val="24"/>
    </w:rPr>
  </w:style>
  <w:style w:type="paragraph" w:customStyle="1" w:styleId="boldparagraphheader">
    <w:name w:val="bold_paragraph_header"/>
    <w:basedOn w:val="Parasts"/>
    <w:next w:val="Parasts"/>
    <w:pPr>
      <w:contextualSpacing/>
      <w:jc w:val="center"/>
    </w:pPr>
    <w:rPr>
      <w:b/>
    </w:rPr>
  </w:style>
  <w:style w:type="table" w:customStyle="1" w:styleId="a">
    <w:basedOn w:val="TableNormal"/>
    <w:tblPr>
      <w:tblStyleRowBandSize w:val="1"/>
      <w:tblStyleColBandSize w:val="1"/>
    </w:tblPr>
  </w:style>
  <w:style w:type="character" w:styleId="Komentraatsauce">
    <w:name w:val="annotation reference"/>
    <w:basedOn w:val="Noklusjumarindkopasfonts"/>
    <w:uiPriority w:val="99"/>
    <w:unhideWhenUsed/>
    <w:rsid w:val="0002231C"/>
    <w:rPr>
      <w:sz w:val="16"/>
      <w:szCs w:val="16"/>
    </w:rPr>
  </w:style>
  <w:style w:type="paragraph" w:styleId="Komentrateksts">
    <w:name w:val="annotation text"/>
    <w:basedOn w:val="Parasts"/>
    <w:link w:val="KomentratekstsRakstz"/>
    <w:uiPriority w:val="99"/>
    <w:unhideWhenUsed/>
    <w:rsid w:val="0002231C"/>
    <w:rPr>
      <w:sz w:val="20"/>
    </w:rPr>
  </w:style>
  <w:style w:type="character" w:customStyle="1" w:styleId="KomentratekstsRakstz">
    <w:name w:val="Komentāra teksts Rakstz."/>
    <w:basedOn w:val="Noklusjumarindkopasfonts"/>
    <w:link w:val="Komentrateksts"/>
    <w:uiPriority w:val="99"/>
    <w:rsid w:val="0002231C"/>
    <w:rPr>
      <w:sz w:val="20"/>
    </w:rPr>
  </w:style>
  <w:style w:type="paragraph" w:styleId="Vresteksts">
    <w:name w:val="footnote text"/>
    <w:basedOn w:val="Parasts"/>
    <w:link w:val="VrestekstsRakstz"/>
    <w:uiPriority w:val="99"/>
    <w:semiHidden/>
    <w:unhideWhenUsed/>
    <w:rsid w:val="00847942"/>
    <w:rPr>
      <w:sz w:val="20"/>
    </w:rPr>
  </w:style>
  <w:style w:type="character" w:customStyle="1" w:styleId="VrestekstsRakstz">
    <w:name w:val="Vēres teksts Rakstz."/>
    <w:basedOn w:val="Noklusjumarindkopasfonts"/>
    <w:link w:val="Vresteksts"/>
    <w:uiPriority w:val="99"/>
    <w:semiHidden/>
    <w:rsid w:val="00847942"/>
    <w:rPr>
      <w:sz w:val="20"/>
    </w:rPr>
  </w:style>
  <w:style w:type="character" w:styleId="Vresatsauce">
    <w:name w:val="footnote reference"/>
    <w:basedOn w:val="Noklusjumarindkopasfonts"/>
    <w:uiPriority w:val="99"/>
    <w:semiHidden/>
    <w:unhideWhenUsed/>
    <w:rsid w:val="00847942"/>
    <w:rPr>
      <w:vertAlign w:val="superscript"/>
    </w:rPr>
  </w:style>
  <w:style w:type="paragraph" w:styleId="Prskatjums">
    <w:name w:val="Revision"/>
    <w:hidden/>
    <w:uiPriority w:val="99"/>
    <w:semiHidden/>
    <w:rsid w:val="00AC4E5D"/>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2635F-0104-4C91-9849-D29B86680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15</Pages>
  <Words>27605</Words>
  <Characters>15735</Characters>
  <Application>Microsoft Office Word</Application>
  <DocSecurity>0</DocSecurity>
  <Lines>131</Lines>
  <Paragraphs>86</Paragraphs>
  <ScaleCrop>false</ScaleCrop>
  <Company/>
  <LinksUpToDate>false</LinksUpToDate>
  <CharactersWithSpaces>43254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viedoklu_parskats_22-TA-3178.docx</dc:title>
  <dc:creator>Laura Šileikiste</dc:creator>
  <cp:lastModifiedBy>Laura Šileikiste</cp:lastModifiedBy>
  <cp:revision>19</cp:revision>
  <dcterms:created xsi:type="dcterms:W3CDTF">2023-01-23T07:21:00Z</dcterms:created>
  <dcterms:modified xsi:type="dcterms:W3CDTF">2023-01-23T07:35:00Z</dcterms:modified>
</cp:coreProperties>
</file>