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jūlija noteikumos Nr. 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veikta astoņos pētījumu ciklos iegūto datu sekundāra izpēte, sniedzot datos balstītu atbildi uz konkrētu rīcībpolitikas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rādītāja vērtību noteikumu 4.3.3. un 5.3.apakšpunktos, ņemot vērā ierosinātos grozījumus noteikumu 4.3.1. un 5.1.apakšpunktos, attiecīgi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ietaupījumu projekta īstenošanas laikā var īstenot tikai pamatpētījumu, kura rezultātus paziņo 2028. gada 4. ceturksnī. Vienlaikus sekundārā pētījuma veikšanas laiks ir deviņi līdz četrpadsmit mēneši. Ja projekta īstenošanai tiks piešķirts elastības finansējums, tiks izvērtēta papildus sekundāro pētījumu veikšana nozares būtisku jautājumu izpētei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veiktie grozījumi attiecībā uz rādītāja palielināšanu par pētījuma cikliem nav saistoši un savstarpēji korelējoši ar sekundāro pētījumu skaitu. Sekundārie pētījumi ir izrietoši pēc pamatpētījumu veikšanas un datu izvērtējuma, kas redzams jau šobrīd apstiprinātajos rādītājos, piemēram, PISA 2022, PIRLS2021 u.c. saistībā ar sekundāro izpēti, kas nav sakrītoši ar veicamajiem pētījumiem. Tādējādi šobrīd rādītāju vērtība 4.3.3. un 5.3.apakšpunktos nav maināma. Lēmums, kas šobrīd ir pieņemts ir par dalību nākamajā pamatpētījumu ciklā TIMSS 2027 un tiklīdz tiks pieņemti lēmumi pēc kāda pamatpētījuma datu izvērtēšanas, ka nepieciešams veikt padziļinātu analīzi, kas nepieciešama nozarei būtisku jautājumu izpētei, tad attiecīgi tiks rosināti grozījumi MK noteikumos, kas būs saistoši. Tādējādi uzsveram, ka nav pretrunu ar jūsu pausto, jo rādītāji šobrīd tiek noteikti atbilstoši pieņemtajiem lēmumiem un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īstenošanas uzraudzībai Izglītības un zinātnes ministrija izveido projekta uzraudzības padomi, kurā pieaicina vismaz vienu pārstāvi no atbildīgās iestādes, Valsts izglītības satura centra, Izglītības kvalitātes valsts dienesta un, ja nepieciešams, citām organizācijām un institūcijām. Projekta uzraudzības padomes sastāvā novērotāja statusā var tikt iekļauti pārstāvji arī no citām organizācijām un institūcijām, tai skaitā no vadošās iestādes un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iesaistīto iestāžu administratīvo resursu taupības nolūkos izvērtēt Ministru kabineta 2023. gada 4. jūlija noteikumu Nr. 374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 (turpmāk - MK noteikumi nr.374) 28.punktā noteiktās projekta uzraudzības padomes nepieciešamību un, ja iespējams, svītrot minēto noteikumu 28.punktu.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projektu uzraudzības padome tiek saglabāta, tad lūdzam svītrot noteikumu 28.punktā vārdus “vadošās iestādes un”, ņemot vērā līdzšinējo praksi šādu uzraudzības padomju organizēšanā Eiropas Savienības 2021. – 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“vadošās iestādes un”, vienlaikus ievērojot to, ka Valsts izglītības satura centrs likvidēts un no 2025. gada 1. janvāra Valsts izglītības attīstības aģentūra ir Valsts izglītības satura centra funkciju, pārvaldes uzdevumu, tiesību, saistību, resursu, informācijas sistēmu, mantas, finanšu līdzekļu, lietvedības un arhīva pārņēmēja, Valsts izglītības satura centrs aizstāts ar Valsts izglītības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īstenošanas uzraudzībai Izglītības un zinātnes ministrija izveido projekta uzraudzības padomi, kurā pieaicina vismaz vienu pārstāvi no atbildīgās iestādes, Valsts izglītības attīstības aģentūras, Izglītības kvalitātes valsts dienesta un, ja nepieciešams, citām organizācijām un institūcijām. Projekta uzraudzības padomes sastāvā novērotāja statusā var tikt iekļauti pārstāvji arī no citām organizācijām un institūcijām, tai skaitā no sadarbības iestādes. Projekta uzraudzības padomes darbību nosaka Izglītības un zinātnes ministrijas izstrādāts un apstiprināts nolikums. Pirmo projekta uzraudzības padomes sēdi sasauc ne vēlāk kā trīs mēnešus pēc vienošanās par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ne retāk kā reizi 12 mēnešos iesniedz projekta uzraudzības padomei ziņojumu par projekta īstenošanas progresu, tai skaitā par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minētajiem uzraudzības rādītājiem, sniedzot atgriezenisko saiti no sadarbības partneriem un citām iesaistītajām pusēm, un prezentē projekta īstenošanas rezultātus projekta uzraudzības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Ministru prezidentes Evikas Siliņas 2025. gada 21. februārī paziņotajām valdības 4x4 prioritātēm 2025. gadam, ikgadējā ziņojumā Saeimai iekļauto apņemšanos 2025. gadā turpināt darbu pie birokrātijas mazināšanas pasākumiem Eiropas Savienības fondu apguvē un publisko iepirkumu jomā, un 2024. gada 20. janvārī apstiprinātā Valsts rīcības plāna pasākuma 35.4. darbības rezultātu: </w:t>
            </w:r>
            <w:r w:rsidR="00000000" w:rsidRPr="00000000" w:rsidDel="00000000">
              <w:rPr>
                <w:i w:val="1"/>
                <w:rtl w:val="0"/>
              </w:rPr>
              <w:t xml:space="preserve">pārskatītas un iespēju robežās mazinātas nacionālajos horizontālajos un specifisko atbalsta mērķu ieviešanu regulējošajos normatīvajos aktos noteiktās prasības,</w:t>
            </w:r>
            <w:r w:rsidR="00000000" w:rsidRPr="00000000" w:rsidDel="00000000">
              <w:rPr>
                <w:rtl w:val="0"/>
              </w:rPr>
              <w:t xml:space="preserve"> finansējuma saņēmēja administratīvā sloga mazināšanas nolūkos, lūdzam izvērtēt finansējuma saņēmēja pienākumu nodrošināt regulārus ziņojumus par projekta īstenošanas progresu un nepieciešamību prezentēt projekta īstenošanas rezultātus projekta uzraudzības padomē, un, ja iespējams, svītrot MK noteikumu Nr.374 29.punktu.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izvērtējusi  ieteikumu svītrot MK noteikumu 29.punktu un atstāj to nemainīgu, ņemot vērā, ka atgriezeniskās saites sniegšana sadarbības partneriem ir būtiska pasākuma īstenošanas uzraudzībā un nozares vajadzībām, tādējādi nav klasificējams kā administratīvais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ne retāk kā reizi 12 mēnešos iesniedz projekta uzraudzības padomei ziņojumu par projekta īstenošanas progresu, tai skaitā par šo noteikumu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minētajiem uzraudzības rādītājiem, sniedzot atgriezenisko saiti no sadarbības partneriem un citām iesaistītajām pusēm, un prezentē projekta īstenošanas rezultātus projekta uzraudzības padomē.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Preču un pakalpojumu iepirkumi projekta īstenošanas vajadzībām jāveic saskaņā ar normatīvajiem aktiem publisko iepirkumu jomā (ja attiecināms, piemērojot sociāli atbildīgu un inovatīvu publisko iepirkumu), īstenojot atklātu, pārredzamu, nediskriminējošu un konkurenci neierobežojošu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ja 4.2.2.5.pasākuma ietvaros vēl ir plānots veikt publiskos iepirkumus, lūdzam izvērtēt iespēju precizēt noteikumu 33.punktu, nosakot, ka finansējuma saņēmējs var izvērtēt iespējas iepirkumiem piemērot sociāli atbildīgu publisko iepirkumu un inovatīvu publisko iepirkumu. Attiecīgi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tiek saglabāta noteikumu 33.punkta esošā redakcija un ja 4.2.2.5.pasākuma ietvaros vēl ir plānots veikt publiskos iepirkumus, lūdzam anotāciju papildināt ar skaidrojumu, kādos gadījumos, jāpiemēro sociāli atbildīgi un inovatīvi publiskie iepirkumi, novēršot interpretācijas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iepirkumi projekta īstenošanas vajadzībām jāveic saskaņā ar normatīvajiem aktiem publisko iepirkumu jomā, īstenojot atklātu, pārredzamu, nediskriminējošu un konkurenci neierobežojošu procedūru, izvērtējot iespējas iepirkumiem piemērot sociāli atbildīgu publisko iepirkumu un inovatīvu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33.punkts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Preču un pakalpojumu iepirkumi projekta īstenošanas vajadzībām jāveic saskaņā ar normatīvajiem aktiem publisko iepirkumu jomā, īstenojot atklātu, pārredzamu, nediskriminējošu un konkurenci neierobežojošu procedūru, izvērtējot iespējas iepirkumiem piemērot sociāli atbildīgu publisko iepirkumu un inovatīvu publisko iepirkumu.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25-TA-637</w:t>
    </w:r>
    <w:r>
      <w:br/>
    </w:r>
    <w:r w:rsidR="00000000" w:rsidRPr="00000000" w:rsidDel="00000000">
      <w:rPr>
        <w:rtl w:val="0"/>
      </w:rPr>
      <w:t xml:space="preserve">28.05.2025. 20.16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25-TA-637</w:t>
    </w:r>
    <w:r>
      <w:br/>
    </w:r>
    <w:r w:rsidR="00000000" w:rsidRPr="00000000" w:rsidDel="00000000">
      <w:rPr>
        <w:rtl w:val="0"/>
      </w:rPr>
      <w:t xml:space="preserve">28.05.2025. 20.16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Izziņa_25-TA-637.docx</dc:title>
</cp:coreProperties>
</file>

<file path=docProps/custom.xml><?xml version="1.0" encoding="utf-8"?>
<Properties xmlns="http://schemas.openxmlformats.org/officeDocument/2006/custom-properties" xmlns:vt="http://schemas.openxmlformats.org/officeDocument/2006/docPropsVTypes"/>
</file>