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22-TA-2025: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un Eiropas Savienības atbalsta piešķiršanas kārtība pasākumā "Integrētā jūrlietu politika"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pasākumā "Integrētā jūrlietu politika"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nepieciešamību kopumā, t.i., izvērtēt, vai ir nepieciešams ārējs normatīvais akts noteikumu projektā minētā pasākuma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noteikumu projekta 4.punktu, vienīgais atbalsta pretendents ir valsts pārvaldes iestāde, kas atbilstoši jūras vides aizsardzību un pārvaldību regulējošajiem normatīvajiem aktiem izstrādā pasākumu programmu, proti, saskaņā ar Jūras vides aizsardzības un pārvaldības likuma 12. pantu tā ir Vides aizsardzības un reģionālās attīstības ministrija, kas, pamatojoties uz jūras novērtējumu un jūras vides mērķiem, izstrādā Pasākumu programmu, lai panāktu un saglabātu labu jūras vides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tiesības vai pienākumus privātpersonām.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2.punkta arī izriet, ka atbalsts tiek piešķirts Jūras vides aizsardzības un pārvaldības likumā noteikto valsts pārvaldes uzdevumu veikšanai - "</w:t>
            </w:r>
            <w:r w:rsidR="00000000" w:rsidRPr="00000000" w:rsidDel="00000000">
              <w:rPr>
                <w:i w:val="1"/>
                <w:rtl w:val="0"/>
              </w:rPr>
              <w:t xml:space="preserve">pasākuma mērķis (..) ir jūras vidē sasniegt un saglabāt labu vides stāvokli (..), tostarp izstrādājot pasākumu programmu laba jūras vides stāvokļa panākšanai un saglabāšanai atbilstoši normatīvajiem aktiem par jūras vides aizsardzību un pārvaldību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lūdzam izvērtēt, vai jautājumu nav efektīvāk risināt valsts pārvaldes sadarbības ietvaros, piemēram, noslēdzot starpresoru līgumu par finanšu līdzekļu izmantošanu pasākuma finansēšanai.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5. panta ceturtajā daļā citastarp ir noteikts, ka valsts un Eiropas Savienības atbalsta piešķiršanas kārtība zivsaimniecības attīstībai nosaka Ministru kabinets. Atbilstoši Lauksaimniecības un lauku attīstības likuma 5. panta 3.1 daļai valsts atbalsta pasākumus lauksaimniecības un meža nozares attīstībai, valsts atbalsta apmēru un piešķiršanas kritērijus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likumdevēja piešķirto rīcības brīvību lemt par pasākumiem, kam būtu piešķirams valsts un Eiropas Savienības atbalsts, ir pilnvarots Ministru kabinets, – tostarp noteikt arī atbalsta pretendentu loku. Izmantojot šo rīcības brīvību, Ministru kabinets ir tiesīgs paredzēt, ka atbalsta pretendents var būt valsts pārvaldes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uzsverams, ka piešķirtā rīcības brīvība ministrijai ir jāizmanto spēkā esošā tiesiskā regulējuma ietvaros, un Zemkopības ministrija nav tiesīga iekšējā normatīvajā aktā vai līgumā noteikt tādu regulējumu, ko nepieļauj augstāka juridiskā spēka tiesību normas.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pasākumā "Integrētā jūrlietu politika"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saskaņā ar Eiropas Parlamenta un Padomes 2021. gada 7. jūlija Regulas (ES) </w:t>
            </w:r>
            <w:r w:rsidR="00000000" w:rsidRPr="00000000" w:rsidDel="00000000">
              <w:rPr>
                <w:rtl w:val="0"/>
              </w:rPr>
              <w:t xml:space="preserve">2021/1139</w:t>
            </w:r>
            <w:r w:rsidR="00000000" w:rsidRPr="00000000" w:rsidDel="00000000">
              <w:rPr>
                <w:rtl w:val="0"/>
              </w:rPr>
              <w:t xml:space="preserve">, ar ko izveido Eiropas Jūrlietu, zvejniecības un akvakultūras fondu un groza Regulu (ES) 2017/1004, </w:t>
            </w:r>
            <w:r w:rsidR="00000000" w:rsidRPr="00000000" w:rsidDel="00000000">
              <w:rPr>
                <w:rtl w:val="0"/>
              </w:rPr>
              <w:t xml:space="preserve">25. panta</w:t>
            </w:r>
            <w:r w:rsidR="00000000" w:rsidRPr="00000000" w:rsidDel="00000000">
              <w:rPr>
                <w:rtl w:val="0"/>
              </w:rPr>
              <w:t xml:space="preserve"> 2. punkta "c" apakšpunktu ir jūras vidē sasniegt un saglabāt labu vides stāvokli, kā noteikts Eiropas Parlamenta un Padomes 2008. gada 17. jūnija </w:t>
            </w:r>
            <w:r w:rsidR="00000000" w:rsidRPr="00000000" w:rsidDel="00000000">
              <w:rPr>
                <w:shd w:fill="lightcyan" w:val="clear"/>
                <w:rtl w:val="0"/>
              </w:rPr>
              <w:t xml:space="preserve">Direktīvas 2008/56/EK</w:t>
            </w:r>
            <w:r w:rsidR="00000000" w:rsidRPr="00000000" w:rsidDel="00000000">
              <w:rPr>
                <w:shd w:fill="#ffffff" w:val="clear"/>
                <w:rtl w:val="0"/>
              </w:rPr>
              <w:t xml:space="preserve">, </w:t>
            </w:r>
            <w:r w:rsidR="00000000" w:rsidRPr="00000000" w:rsidDel="00000000">
              <w:rPr>
                <w:rtl w:val="0"/>
              </w:rPr>
              <w:t xml:space="preserve">ar ko izveido sistēmu Kopienas rīcībai jūras vides politikas jomā (Jūras stratēģijas pamatdirektīva), </w:t>
            </w:r>
            <w:r w:rsidR="00000000" w:rsidRPr="00000000" w:rsidDel="00000000">
              <w:rPr>
                <w:rtl w:val="0"/>
              </w:rPr>
              <w:t xml:space="preserve">1. panta</w:t>
            </w:r>
            <w:r w:rsidR="00000000" w:rsidRPr="00000000" w:rsidDel="00000000">
              <w:rPr>
                <w:rtl w:val="0"/>
              </w:rPr>
              <w:t xml:space="preserve"> 1. punktā, tostarp izstrādājot pasākumu programmu laba jūras vides stāvokļa panākšanai un saglabāšanai (turpmāk – pasākumu programma) atbilstoši normatīvajiem aktiem par jūras vides aizsardzību un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normatīvajā aktā var veidot atsauces uz </w:t>
            </w:r>
            <w:r w:rsidR="00000000" w:rsidRPr="00000000" w:rsidDel="00000000">
              <w:rPr>
                <w:u w:val="single"/>
                <w:rtl w:val="0"/>
              </w:rPr>
              <w:t xml:space="preserve">tieši piemērojamiem</w:t>
            </w:r>
            <w:r w:rsidR="00000000" w:rsidRPr="00000000" w:rsidDel="00000000">
              <w:rPr>
                <w:rtl w:val="0"/>
              </w:rPr>
              <w:t xml:space="preserve"> Eiropas Savienības tiesību aktiem vai to normām, t.i., atsauces uz regulām vai atsauces uz regulu normām. Savukārt Eiropas Savienības direktīvas pēc būtības pārņemamas nacionālajos normatīvajos aktos. Nepieciešamības gadījumā atsauces veidojamas uz šiem nacionālajiem normatīvajiem aktiem, kuros pārņemtas direktīvu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projekta 2.punktu, kā arī noteikumu projekta pielikumu (definējot skaidrus projekta vērtēšanas kritērijus) atbilstoši Ministru kabineta 2009. gada 3. februāra noteikumu Nr. 108 "Normatīvo aktu projektu sagatavošanas noteikumi" 170.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atlases kritēriju saskaņošanas procesā, kas notiek saskaņā ar Regulas Nr.2021/1060 40.panta 2(a)apakšpunktu, ir panākta vienošanās ar Eiropas Komisiju, kas aicināja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atlases kritērijos ietvert konkrētas direktīvas, kā arī Rīcības programmas zivsaimniecības attīstībai 2014.-2022. gadam Uzraudzības komiteja 2022. gada 6. septembrī ir apstiprinājusi noteikumu projekta pielikumā norādītos projektu atlases kritērijus (Lēmums Nr. 9.3-20e/1/L/UK/2022, https://www.zm.gov.lv/public/ck/files/06092022_Lemums_Nr%209_3_20e_1_L_UK_2022.pdf ), tāpēc kritērijos izmaiņas nav veicamas.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saskaņā ar Eiropas Parlamenta un Padomes 2021. gada 7. jūlija Regulas (ES) </w:t>
            </w:r>
            <w:r w:rsidR="00000000" w:rsidRPr="00000000" w:rsidDel="00000000">
              <w:rPr>
                <w:rtl w:val="0"/>
              </w:rPr>
              <w:t xml:space="preserve">2021/1139</w:t>
            </w:r>
            <w:r w:rsidR="00000000" w:rsidRPr="00000000" w:rsidDel="00000000">
              <w:rPr>
                <w:rtl w:val="0"/>
              </w:rPr>
              <w:t xml:space="preserve">, ar ko izveido Eiropas Jūrlietu, zvejniecības un akvakultūras fondu un groza Regulu (ES) 2017/1004, </w:t>
            </w:r>
            <w:r w:rsidR="00000000" w:rsidRPr="00000000" w:rsidDel="00000000">
              <w:rPr>
                <w:rtl w:val="0"/>
              </w:rPr>
              <w:t xml:space="preserve">25. panta</w:t>
            </w:r>
            <w:r w:rsidR="00000000" w:rsidRPr="00000000" w:rsidDel="00000000">
              <w:rPr>
                <w:rtl w:val="0"/>
              </w:rPr>
              <w:t xml:space="preserve"> 2. punkta "c" apakšpunktu ir jūras vidē sasniegt un saglabāt labu vides stāvokli, tostarp izstrādājot pasākumu programmu laba jūras vides stāvokļa panākšanai un saglabāšanai (turpmāk – pasākumu programma) atbilstoši normatīvajiem aktiem par jūras vides aizsardzību un pārvaldību.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11.4. apakšpunktā minētos dokumentus iesniedz ne vēlāk kā 10 darbdienu laikā pēc iepirkuma procedūras pabeigšanas.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12.punktā svītrot dokumentu iesniegšanas termiņu vai arī to pagarināt. VARAM uzskata, ka norādītais termiņš 10 darbdienas ir nereāls projekta dokumentācijas noformēšanai, ņemot vērā , ka projekta iesnieguma forma šobrīd nav zināma.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iepirkuma dokumenti iesniedzami, ievērojot MK noteikumos Nr. 446 "Noteikumi par valsts un Eiropas Savienības atbalsta piešķiršanu, administrēšanu un uzraudzību zivsaimniecības attīstībai 2021.–2027. gada plānošanas periodā" 9. punktā noteikto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papildu informāciju par Rīcības programmu zivsaimniecības attīstībai 2021.–2027.gadam apstiprināšanas progresu Eiropas Komisijā un, ja tā Eiropas Komisijā vēl nav apstiprināta, lūdzam noteikumu projektu virzīt izskatīšanai Ministru kabinetā tikai pēc tās apstiprināšanas Eiropas Komisijā. Ja Zemkopības ministrijas ieskatā noteikumu projekta tālāka virzība ir nepieciešama pirms Rīcības programmas apstiprināšanas Eiropas Komisijā, tad anotācijā ir sniedzams attiecīgs pamatojums, kā arī Ministru kabineta protokollēmuma projektam pievienojams attiecīgs punkts (līdzīgi kā tika pamatots un noteikts Zemkopības ministrijas sagatavotajai tiesību aktu lietai Nr. 22-TA-2228).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un MK protokollēmums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norādot gadu līdz kuram plānots pasākumam  pieejamais finansējums, precizēt to uz 2028.gadu, ņemot vērā, ka situācijā, ja pasākuma īstenošanu uzsāk 2022.gadā, tad 7 atbalsta gadi noslēdzas 2028.gada beigās.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 sadaļas 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1.punktā norādīt, ka projektu uzsāk īstenot 2023.gadā (kārtējais gads), ņemot vērā, ka noteikumu projekts vēl jāapstiprina Ministru kabinetā, kā arī pretendentam ir jāīsteno publiskā  iepirkuma procedūra, ņemot vērā arī iespējamās pārsūdzības, un jāsagatavo un jānoformē projekta iesniegums.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3.sadaļu, kā kārtējo gadu norādot 2022.gadu, un, ja pasākuma "Integrētā jūrlietu politika" īstenošanu plānots uzsākt 2023.gadā, tad izmaiņas uz valsts budžetu norādīt sākot ar 2023.gadu, kā arī anotācijas 3.sadaļas 6.punktā norādīt, ka pasākuma īstenošanu plānots uzsākt 2023.gadā.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iepirkuma procedūru apliecinoši dokumenti iesniedzami, ievērojot Ministru kabineta 2022.gada 14.jūnija noteikumu Nr.446 "Noteikumi par valsts un Eiropas Savienības atbalsta piešķiršanu, administrēšanu un uzraudzību zivsaimniecības attīstībai 2021. - 2027.gada plānošanas periodā" 9.punktā noteikto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arī labot TA projekta Izziņas 3.punktā kļūdaino atsauci uz MK noteikumu numuru - Nr.509, aizstājot to ar atsauci uz MK 2022.gada 14.jūnija noteikumu </w:t>
            </w:r>
            <w:r w:rsidR="00000000" w:rsidRPr="00000000" w:rsidDel="00000000">
              <w:rPr>
                <w:b w:val="1"/>
                <w:rtl w:val="0"/>
              </w:rPr>
              <w:t xml:space="preserve">Nr.446</w:t>
            </w:r>
            <w:r w:rsidR="00000000" w:rsidRPr="00000000" w:rsidDel="00000000">
              <w:rPr>
                <w:rtl w:val="0"/>
              </w:rPr>
              <w:t xml:space="preserve"> 9.punktu.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izziņa.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22-TA-2025</w:t>
    </w:r>
    <w:r>
      <w:br/>
    </w:r>
    <w:r w:rsidR="00000000" w:rsidRPr="00000000" w:rsidDel="00000000">
      <w:rPr>
        <w:rtl w:val="0"/>
      </w:rPr>
      <w:t xml:space="preserve">22.11.2022. 11.19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22-TA-2025</w:t>
    </w:r>
    <w:r>
      <w:br/>
    </w:r>
    <w:r w:rsidR="00000000" w:rsidRPr="00000000" w:rsidDel="00000000">
      <w:rPr>
        <w:rtl w:val="0"/>
      </w:rPr>
      <w:t xml:space="preserve">22.11.2022. 11.19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Izziņa_22-TA-2025.docx</dc:title>
</cp:coreProperties>
</file>

<file path=docProps/custom.xml><?xml version="1.0" encoding="utf-8"?>
<Properties xmlns="http://schemas.openxmlformats.org/officeDocument/2006/custom-properties" xmlns:vt="http://schemas.openxmlformats.org/officeDocument/2006/docPropsVTypes"/>
</file>