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23-TA-2935: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Zemkopības ministrijas piedāvājumu ISIP un ekoshēmu naudas pārdalei, secinām, ka piedāvātie risinājumi ir mehāniska naudas pārdale, bez jēgpilna aprēķina par to, kā šie lēmumi ietekmēs Eiropas Zaļā kursa un ‘’No lauka līdz galdam’’ nospraustos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Iztrūkums ekoshēmu finansējumā primāri ir radies absolūti ačgārnas politikas veidošanas rezultātā, kur vispirms netika identificēti sasniedzamie mērķi, tad mērķu sasniegšanas mehānismi, noteiktas reālas sasniedzamās platības, un piešķirts adekvāts finansējums. Stratēģiskā plāna veidošanas procesā vispirms tika sadalīts finansējums atsevišķu lobiju interesēs, aprēķinātas nepieciešamās likmes, izdomāti orientējoši sasniedzamie hektāru mērķi, un tikai tad ‘’pievilkti’’ zaļā kursa mērķi. Līdz ar to, ZM aicinājums izvēlēties kādu no piedāvātajiem naudas pārdales variantiem, lai kompensētu ZM nepareizās plānošanas rezultātā radušos iztrūkumu, gluži vienkārši turpina nepareizi veidotas politikas ieviešanu un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visaptverošu izvērtējumu piedāvātajiem 3 Zemkopības Ministrijas piedāvātajiem finansējuma pārdales mehānismiem, secinām, ka ražojošām un uz tirgu orientētām saimniecībām pieņemamākais finanšu pārdales variants ir 1.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šāda secinājuma esam nonākuši, veicot aprēķinus reālām saimniecībām no dažādām nozarēm, sevišķu uzmanību vēršot uz ražojošām piena lopkopības saimniecībām, kuras no 1. varianta finansiāli iegūst vairāk nekā no 2. vai 3. varianta. Tas primāri skaidrojams ar to, ka ražojošas, efektīvas un uz tirgu vērstas saimniecības daļu no lopbarības platībām nodrošina ar kukurūzu, par kuru iespējams saņemt tikai ISIP (kuru pārējie varianti piedāvā samazināt), kā arī atlikušajās platībās, kur lopbarība tiek iegūta no zālājiem, zemkopības ministrija atbalsta nosacījumus sarežģījusi tik ļoti (piem., aizliegums lietot AAL, prasība par zālāja uzturēšanu 2 gadus), ka efektīvas un ražojošas saimniecības, kuras kopj sētos zālājus, šim maksājumam ar lielu daļu platību nemaz nekvalificējas.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tam, ka no piedāvātajiem 3 variantiem atbalstām 1. variantu, kurš neparedz ISIP samazinājumu, vēlamies uzsvērt, ka ZM nepieciešams steidzami uzsākt darbu pie stratēģiskā plāna grozījumu pakotnes, kura ietvertu arī ekoshēmu reformu, veidojot 2 ekoshēmas ar reālistisku references platību, konkurētspējīgām likmēm, izpildāmiem nosacījumiem, un pieeju, kura nediskriminētu nevienu no lauksaimniecības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neatbalsta ZM izstrādāto grozījumu projektu un neatbalsta tā turpmāku virzību, ISIP maksājumu samazinājums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aicina ZM ievērot taisnīgu un vienlīdzīgu pieeju pret visiem lauksaimniekiem attiecībā uz ekoshēmu finansējuma pārdali, it īpaši ņemot vērā šī gada klimatiskos apstākļus, tāpēc aicinām ekoshēmu finansējumu pārdalīt nosakot, ka par katru no pieejamajām ekoshēmām tiek aprēķināta minimālā likme. Gadījumā, ja, izmaksājot minimālās likmes, rodas finansējuma pārpalikums ekoshēmās, tas proporcionāli tiek izdalīts uz visām ekoshēmām, veidojot sabalansētu, solidāru un taisnīgu ekoshēmu modeli.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neatbalsta ZM izstrādāto grozījumu projektu un neatbalsta tā turpmāku virzību, ISIP maksājumu samazinājums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aicina ZM ievērot taisnīgu un vienlīdzīgu pieeju pret visiem lauksaimniekiem attiecībā uz ekoshēmu finansējuma pārdali, it īpaši ņemot vērā šī gada klimatiskos apstākļus, tāpēc aicinām ekoshēmu finansējumu pārdalīt nosakot, ka par katru no pieejamajām ekoshēmām tiek aprēķināta minimālā likme. Gadījumā, ja, izmaksājot minimālās likmes, rodas finansējuma pārpalikums ekoshēmās, tas proporcionāli tiek izdalīts uz visām ekoshēmām, veidojot sabalansētu, solidāru un taisnīgu ekoshēmu modeli.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grozījumu projekts izstrādāts, balstoties uz š.g. 6.novembrī Lauksaimnieku Konsultatīvajā padomē (turpmāk - LKP) pieņemto lēmumu grozīt Ministru Kabineta 2023. gada 18. aprīļa noteikumus Nr. 198 “Tiešo maksājumu piešķiršanas kārtība lauksaimniekiem” (turpmāk - noteikumi Nr.198), paredzot finansējuma pārdali no  ilgtspēju sekmējoša ienākumu pamatatbalsta (turpmāk - ISIP) finansējuma, lai nodrošinātu minimālās atbalsta likmes piešķiršanu visām ekoshēmu atbalsta intervencēm.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ekoshēmu atbalsta intervenču mērķa platību plānošana tika veikta piesardzīgi, tai skaitā lai samazinātu potenciāli neizmantotu finanšu līdzekļu riskus. Būtiska nozīme plānošanā bija pieejamajam finansējumam un lēmumiem par finansējuma piešķīrumu katrai no ekoshēmu atbalsta intervencēm.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papildināt ekoshēmu atbalsta intervenču finansējumu ir radusies, jo dažās ekoshēmās lauksaimnieku deklarētās platības ir būtiski lielākas par plānotajām, un arī šajās ekoshēmās ir jānodrošina plānotā vienības minimālā summa. Izskatīšanai š.g. 6. novembra LKP tika piedāvāti trīs iespējamie varianti, kā risināt nepieciešamību papildināt ekoshēmu finansējumu, arī variants par finansējuma pārdali tikai ekoshēmu ietvaros, tomēr LKP locekļu vairākums atbalstīja ISIP finansējuma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turpināts arī lauksaimniekiem, kuru darbības specifika šobrīd neatbilst ekoshēmu atbalsta intervenču saņemšanas nosacījumiem. Paredzētā ISIP indikatīvā finansējuma pārdale ekoshēmu atbalsta intervencēm neapdraud laicīgu ISIP izmaksu un atbalsta likme tiks nodrošināta Latvijas Kopējās lauksaimniecības politikas stratēģiskajā plānā 2023.-2027. gadam noteiktās plānotās minimālās un maksimālās vienības summas robežās, kā arī ir ieviests ilgtspēju sekmējošais pārdalošais ienākumu papildatbalsts, šie abi atbalsti kopā lielai daļai saimniecību nodrošina atbalsta līmeņa saglabāšanos, salīdzinot ar 2022.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ieteikumu ekoshēmu atbalsta intervenču tālākai pilnveidošanai, nākotnē turpinot uzlabot lauksaimnieku iesaisti vides mērķu sasniegšanā. 2023. gada 6. novembrī lauksaimnieku nevalstiskajām organizācijām, kas ir pārstāvētas LKP, tika izsūtīts Zemkopības ministrijas aicinājums līdz 30. novembrim sniegt priekšlikumus Latvijas KLP stratēģiskā plāna 2023.-2027.gadam grozījumu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371.15.</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"Lauksaimnieku apvienība"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vārdus </w:t>
            </w:r>
            <w:r w:rsidR="00000000" w:rsidRPr="00000000" w:rsidDel="00000000">
              <w:rPr>
                <w:i w:val="1"/>
                <w:rtl w:val="0"/>
              </w:rPr>
              <w:t xml:space="preserve"> 371.16.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ISIP pamatlikmes, gan ISIP likmes novados ar īpašiem apstākļiem izmaksu katra plānošanas perioda gadā noteikt atbilstoši finansējumam un pieteiktajai platībai EUR/ha un noteiktajām atsevišķi  katras likmes minimālajām un maksimālajām vērtības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MK noteikumu Nr 198 “Tiešo maksājumu piešķiršanas kārtība lauksaimniekiem” 371.16.apakšpunkta  redakciju un atcelt šo MK noteikumu 25.pielikumu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"371.15.1 ja ilgtspēju sekmējošā ienākumu pamatatbalsta faktiski izmaksājamās vienības summas tiek aprēķinātas pirms ekoshēmu intervenču faktiski izmaksājamo vienības summu aprēķināšanas, tad, aprēķinot ilgtspēju sekmējošā ienākumu pamatatbalsta faktiski izmaksājamo vienības summu saskaņā ar šo noteikumu 371.15. un 371.16. apakšpunktu , no ilgtspēju sekmējošā ienākumu pamatatbalsta kārtējā gada paredzētā indikatīvā atbalsta apmēra atņemama finansējuma summa, kuru nepieciešams pārdalīt saskaņā ar noteikumu 371.7.1 apakšpunktu un kuru Lauku atbalsta dienests nosaka, pamatojoties uz ģeotelpisko iesniegumu datiem par ekoshēmu intervencēm;".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ISIP likmju aprēķināšanas kārtība saskaņā ar noteikumu Nr. 198 25. pielikumā noteikto formulu nodrošina precīzu 10 eiro/ha atšķirību ISIP likmēm starp teritorijām, kas noteikta, ņemot vērā LKP 2021.gada 15.septembra lēmumu. Šī gada 6.novembrī LKP pieņemtais lēmums neparedz ISIP likmes aprēķināšanas kārtību, bet gan tikai finansējumu pārdales principus, lai noteiktām ekoshēmu atbalsta intervencēm tiktu nodrošināta plānotā vienības minimālā summa, tādēļ šādus grozījumus nav iespējams veikt, ir nepieciešams jauns LKP lēmums, kas atceļ iepriekš nolemto un pieļauj šādu grozījumu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Nr.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102. pants nosaka dalībvalstīm pienākumu ievērot noteiktās plānotās vienības minimālās summas un plānotās vienības maksimālās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2021/2115 101. panta 3.punkta a) apakšpunktā ir noteikts, ka tiešo maksājumu intervencēm attiecīgās dalībvalsts KLP stratēģiskajā plānā noteiktie indikatīvie finanšu piešķīrumi neliedz dalībvalstīm izmantot līdzekļus no šiem indikatīvajiem finanšu piešķīrumiem kā līdzekļus citām  tiešo maksājumu intervencēm, negrozot savus KLP stratēģiskos plānus, ja tiek ievēroti citi Regulas 2021/2115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198 371.16. apakšpunkts un 25.pielikums nav pretrunā ar regulā 2021/2115, Latvijas Kopējās lauksaimniecības politikas stratēģiskajā plānā 2023.-2027.gadam un noteikumos Nr.198 noteikto kārtību, un ir nepieciešami, lai būtu skaidri un nepārprotami atrunāta ISIP faktiski izmaksājamo vienības summu aprēķināšanas kārtība. Noteikumu Nr.198 25. pielikums paredz  kārtību, kā noteikt ISIP likmes, ņemot vērā ne tikai ISIP finansējumu, bet arī finanšu vajadzību ekoshēmu atbalsta intervencēm, saistītajam ienākumu atbalstam, maksājumam mazajiem lauksaimniekiem, jo tiešo maksājumu intervenču finansējumi ir savstarpēji saistīti.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371.15.</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("Latgales ražojošo lauksaimnieku apvienība" LRLA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svītrot </w:t>
            </w:r>
            <w:r w:rsidR="00000000" w:rsidRPr="00000000" w:rsidDel="00000000">
              <w:rPr>
                <w:i w:val="1"/>
                <w:rtl w:val="0"/>
              </w:rPr>
              <w:t xml:space="preserve">un 371.16.apakšpunktu.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Stratēģiskā plāna 2023.– 2027.gadam aktuālā redakcija (aktualizēts 11.09.2023.) 5.1.Tiešo maksājumu intervences (KLP Stratēģiskā plāna 345.lpp) un MK noteikumu Nr 198 “Tiešo maksājumu piešķiršanas kārtība lauksaimniekiem” 16.pielikuma tabulu gan ISIP pamatlikmei, gan ISIP likmei novados ar īpašiem apstākļiem ir paredzēts un apstiprināts katrai savs katra saimnieciskā gada budžets visam 2023.-2027.gada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Stratēģiskā plāna 2023.– 2027.gadam aktuālā redakcija (aktualizēts 11.09.2023.) 5.1.Tiešo maksājumu intervences (KLP Stratēģiskā plāna 345.lpp) un MK noteikumu Nr 198 “Tiešo maksājumu piešķiršanas kārtība lauksaimniekiem” 16.pielikuma tabulu gan ISIP pamatlikmei, gan ISIP likmei novados ar īpašiem apstākļiem ir noteiktas katrai savas no plānotā pieļaujamās  maksimālās un minimālās likmes, kas ir noteiktas 20% robežās no plānotās.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198 “Tiešo maksājumu piešķiršanas kārtība lauksaimniekiem” 25.pielikums ir pretrunā ar iepriekš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ISIP pamatlikmes, gan ISIP likmes novados ar īpašiem apstākļiem izmaksu katra plānošanas gada periodā veikt atbilstoši finansējumam  un pieteiktajai platībai  EUR/ha atbilstoši katras ISIP likmes kategorijai un noteiktajām šo likmju maksimālo un minimālo pieļaujamajām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norādīto atcelt MK noteikumu Nr 198 “Tiešo maksājumu piešķiršanas kārtība lauksaimniekiem” 371.16.apakšpunkta  redakciju un atcelt šo MK noteikumu 25.pielikumu.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ISIP pamatlikmes, gan ISIP likmes novados ar īpašiem apstākļiem izmaksu katra plānošanas perioda gadā noteikt atbilstoši finansējumam un pieteiktajai platībai EUR/ha un noteiktajām atsevišķi  katras likmes minimālajām un maksimālajām vērtības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MK noteikumu Nr 198 “Tiešo maksājumu piešķiršanas kārtība lauksaimniekiem” 371.16.apakšpunkta  redakciju un atcelt šo MK noteikumu 25.pielikumu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371.15.1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"371.15.1 ja ilgtspēju sekmējošā ienākumu pamatatbalsta faktiski izmaksājamās vienības summas tiek aprēķinātas pirms ekoshēmu intervenču faktiski izmaksājamo vienības summu aprēķināšanas, tad, aprēķinot ilgtspēju sekmējošā ienākumu pamatatbalsta faktiski izmaksājamo vienības summu saskaņā ar šo noteikumu 371.15. un 371.16. apakšpunktu, no ilgtspēju sekmējošā ienākumu pamatatbalsta kārtējā gada paredzētā indikatīvā atbalsta apmēra atņemama finansējuma summa, kuru nepieciešams pārdalīt saskaņā ar noteikumu 371.7.1 apakšpunktu un kuru Lauku atbalsta dienests nosaka, pamatojoties uz ģeotelpisko iesniegumu datiem par ekoshēmu intervencēm;".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ISIP likmju aprēķināšanas kārtība saskaņā ar noteikumu Nr. 198 25.pielikumā noteikto formulu nodrošina precīzu 10 eiro/ha atšķirību ISIP likmēm starp teritorijām, kas noteikta, ņemot vērā LKP 2021.gada 15.septembra lēmumu. Šī gada 6.novembrī LKP pieņemtais lēmums neparedz ISIP likmes aprēķināšanas kārtību, bet gan tikai finansējumu pārdales principus, lai noteiktām ekoshēmu atbalsta intervencēm tiktu nodrošināta plānotā vienības minimālā summa, ir nepieciešams jauns LKP lēmums, kas atceļ iepriekš nolemto un pieļauj šādu grozījumu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2021/2115 102. pants nosaka dalībvalstīm pienākumu ievērot noteiktās plānotās vienības minimālās summas un plānotās vienības maksimālās summas. Regulas 2021/2115 101. panta 3.punkta a) apakšpunktā ir noteikts, ka tiešo maksājumu intervencēm attiecīgās dalībvalsts KLP stratēģiskajā plānā noteiktie indikatīvie finanšu piešķīrumi neliedz dalībvalstīm izmantot līdzekļus no šiem indikatīvajiem finanšu piešķīrumiem kā līdzekļus citām  tiešo maksājumu intervencēm, negrozot savus KLP stratēģiskos plānus, ja tiek ievēroti citi Regulas 2021/2115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198 371.16. apakšpunkts un 25.pielikums nav pretrunā ar regulā 2021/2115, Latvijas Kopējās lauksaimniecības politikas stratēģiskajā plānā 2023.-2027.gadam un noteikumos Nr.198 noteikto kārtību, un ir nepieciešami, lai būtu skaidri un nepārprotami atrunāta ISIP faktiski izmaksājamo vienības summu aprēķināšanas kārtība. Noteikumu Nr.198 25. pielikums paredz  kārtību, kā noteikt ISIP likmes, ņemot vērā ne tikai ISIP finansējumu, bet arī finanšu vajadzību ekoshēmu atbalsta intervencēm, saistītajam ienākumu atbalstam, maksājumam mazajiem lauksaimniekiem, jo tiešo maksājumu intervenču finansējumi ir savstarpēji saistīti.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 apakšpunktu, pilnīgāk skaidrojot Ministru kabineta 2023. gada 18. aprīļa noteikumos Nr. 198 "Tiešo maksājumu piešķiršanas kārtība lauksaimniekiem" plānotās izmaiņas, tai skaitā pamatojot visas veiktās izmaiņas (piemēram, noteikumu projekta 3. punktā paredzētās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papildināt anotācijas 1.3. apakšpunktu ar informāciju par paredzēto grozījumu ietekmi uz atbalsta saņēmējiem, ņemot vērā paredzēto finansējuma pārdali no ilgtspēju sekmējoša ienākumu pamatatbalsta uz ekoshēmu intervencēm. Tostarp lūdzam sniegt informāciju par to, vai tiek ievērots tiesiskās paļāvības princips, t.i., vai nepastāv riski, ka atbalsta samazināšanas rezultātā potenciālajiem atbalsta saņēmējiem, kuriem līdz šim bija iespēja saņemt atbalstu, tā zūd nepietiekama finansējuma dēļ, kas radies pamatojoties uz šiem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nepieciešamības gadījumā precizēt anotācijas 1.3.apakšpunktā sniegto skaidrojumu, nodrošinot, ka informācija ir korekta, nepārprotama un nav pretrunīga. Vēršam uzmanību, ka, piemēram, problēmas apraksta daļā tiek norādīts: "Ekoshēmu atbalsta intervencēm </w:t>
            </w:r>
            <w:r w:rsidR="00000000" w:rsidRPr="00000000" w:rsidDel="00000000">
              <w:rPr>
                <w:u w:val="single"/>
                <w:rtl w:val="0"/>
              </w:rPr>
              <w:t xml:space="preserve">nav noteikts maksimālā finansējuma ierobežojums</w:t>
            </w:r>
            <w:r w:rsidR="00000000" w:rsidRPr="00000000" w:rsidDel="00000000">
              <w:rPr>
                <w:rtl w:val="0"/>
              </w:rPr>
              <w:t xml:space="preserve"> [..]", bet pašreizējās situācijas aprakstā skaidro: "</w:t>
            </w:r>
            <w:r w:rsidR="00000000" w:rsidRPr="00000000" w:rsidDel="00000000">
              <w:rPr>
                <w:u w:val="single"/>
                <w:rtl w:val="0"/>
              </w:rPr>
              <w:t xml:space="preserve">Katrai atbalsta intervencei</w:t>
            </w:r>
            <w:r w:rsidR="00000000" w:rsidRPr="00000000" w:rsidDel="00000000">
              <w:rPr>
                <w:rtl w:val="0"/>
              </w:rPr>
              <w:t xml:space="preserve"> KLP stratēģiskajā plāna 2023. – 2027. gadam </w:t>
            </w:r>
            <w:r w:rsidR="00000000" w:rsidRPr="00000000" w:rsidDel="00000000">
              <w:rPr>
                <w:u w:val="single"/>
                <w:rtl w:val="0"/>
              </w:rPr>
              <w:t xml:space="preserve">ir  noteikts finansējuma apjoms un noteikta</w:t>
            </w:r>
            <w:r w:rsidR="00000000" w:rsidRPr="00000000" w:rsidDel="00000000">
              <w:rPr>
                <w:rtl w:val="0"/>
              </w:rPr>
              <w:t xml:space="preserve"> plānotā vienības summa, plānotā vienības minimālā summa un </w:t>
            </w:r>
            <w:r w:rsidR="00000000" w:rsidRPr="00000000" w:rsidDel="00000000">
              <w:rPr>
                <w:u w:val="single"/>
                <w:rtl w:val="0"/>
              </w:rPr>
              <w:t xml:space="preserve">plānotā vienības maksimālā summa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apakšpunkta 1. tabulā skaidrāk norādīt informāciju par rīcības brīvības izmantošanu, ņemot vērā, ka tajā norāda </w:t>
            </w:r>
            <w:r w:rsidR="00000000" w:rsidRPr="00000000" w:rsidDel="00000000">
              <w:rPr>
                <w:u w:val="single"/>
                <w:rtl w:val="0"/>
              </w:rPr>
              <w:t xml:space="preserve">kā </w:t>
            </w:r>
            <w:r w:rsidR="00000000" w:rsidRPr="00000000" w:rsidDel="00000000">
              <w:rPr>
                <w:rtl w:val="0"/>
              </w:rPr>
              <w:t xml:space="preserve">un kādēļ ir izmantota Eiropas Savienības tiesību aktā paredzētā rīcības brīvība dalībvalstij ieviest noteiktas Eiropas Savienības tiesību akta normas. No anotācijā sniegtā skaidrojuma izriet, ka rīcības brīvība tiek izmantota, bet nav viennozīmīgi secināms, kā un kāpēc šī rīcības brīvība tiek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371.9. ja pēc šo noteikumu </w:t>
            </w:r>
            <w:r w:rsidR="00000000" w:rsidRPr="00000000" w:rsidDel="00000000">
              <w:rPr>
                <w:rtl w:val="0"/>
              </w:rPr>
              <w:t xml:space="preserve">371.7.</w:t>
            </w:r>
            <w:r w:rsidR="00000000" w:rsidRPr="00000000" w:rsidDel="00000000">
              <w:rPr>
                <w:rtl w:val="0"/>
              </w:rPr>
              <w:t xml:space="preserve"> un </w:t>
            </w:r>
            <w:r w:rsidR="00000000" w:rsidRPr="00000000" w:rsidDel="00000000">
              <w:rPr>
                <w:rtl w:val="0"/>
              </w:rPr>
              <w:t xml:space="preserve">371.8.</w:t>
            </w:r>
            <w:r w:rsidR="00000000" w:rsidRPr="00000000" w:rsidDel="00000000">
              <w:rPr>
                <w:rtl w:val="0"/>
              </w:rPr>
              <w:t xml:space="preserve"> apakšpunktā</w:t>
            </w:r>
            <w:r w:rsidR="00000000" w:rsidRPr="00000000" w:rsidDel="00000000">
              <w:rPr>
                <w:rtl w:val="0"/>
              </w:rPr>
              <w:t xml:space="preserve"> minētās pārdalīšanas un ekoshēmu intervenču maksimālās vienības summas nodrošināšanas veidojas finansējuma pārpalikums, 2023. un 2024. gadā attiecīgais finansējums pārdalāms ilgtspēju sekmējošā ienākumu pamatatbalsta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līdz ar projektā norādītajiem grozījumiem nav nepieciešams izteikt jaunā redakcijā arī noteikumu 371.9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371.9.apakšpunktā tiek noteikta tālākā rīcība gadījumā, ja, nodrošinot iepriekšējos apakšpunktos (371.7. un 371.8. apakšpunktā) minēto finansējuma pārdalīšanu, ir izveidojies finansējuma pārpalikums. Ņemot vērā, ka noteikumi tiek papildināti ar 371.7</w:t>
            </w:r>
            <w:r w:rsidR="00000000" w:rsidRPr="00000000" w:rsidDel="00000000">
              <w:rPr>
                <w:vertAlign w:val="superscript"/>
                <w:rtl w:val="0"/>
              </w:rPr>
              <w:t xml:space="preserve">1 </w:t>
            </w:r>
            <w:r w:rsidR="00000000" w:rsidRPr="00000000" w:rsidDel="00000000">
              <w:rPr>
                <w:rtl w:val="0"/>
              </w:rPr>
              <w:t xml:space="preserve">apakšpunktu, kurš arī regulē finansējuma pārdali, noteikumu 371.9 apakšpunkts šķietami būtu papildināms ar atsauci uz 371.7</w:t>
            </w:r>
            <w:r w:rsidR="00000000" w:rsidRPr="00000000" w:rsidDel="00000000">
              <w:rPr>
                <w:vertAlign w:val="superscript"/>
                <w:rtl w:val="0"/>
              </w:rPr>
              <w:t xml:space="preserve">1</w:t>
            </w:r>
            <w:r w:rsidR="00000000" w:rsidRPr="00000000" w:rsidDel="00000000">
              <w:rPr>
                <w:rtl w:val="0"/>
              </w:rPr>
              <w:t xml:space="preserve"> apakšpunktu, līdzīgi, kā jaunā redakcijā tiek izteikts noteikumu 371.10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371.9 apakšpunkts paredz finansējuma pārdali no ekoshēmu atbalsta intervencēm uz ISIP, savukārt 371.7.</w:t>
            </w:r>
            <w:r w:rsidR="00000000" w:rsidRPr="00000000" w:rsidDel="00000000">
              <w:rPr>
                <w:vertAlign w:val="superscript"/>
                <w:rtl w:val="0"/>
              </w:rPr>
              <w:t xml:space="preserve">1</w:t>
            </w:r>
            <w:r w:rsidR="00000000" w:rsidRPr="00000000" w:rsidDel="00000000">
              <w:rPr>
                <w:rtl w:val="0"/>
              </w:rPr>
              <w:t xml:space="preserve"> apakšpunkts piemērojams gadījumā, ja finansējums jāpārdala no ISIP uz ekoshēmu atbalsta intervencēm, tādēļ nevarētu rasties situācija, kad pēc 371.7.</w:t>
            </w:r>
            <w:r w:rsidR="00000000" w:rsidRPr="00000000" w:rsidDel="00000000">
              <w:rPr>
                <w:vertAlign w:val="superscript"/>
                <w:rtl w:val="0"/>
              </w:rPr>
              <w:t xml:space="preserve">1</w:t>
            </w:r>
            <w:r w:rsidR="00000000" w:rsidRPr="00000000" w:rsidDel="00000000">
              <w:rPr>
                <w:rtl w:val="0"/>
              </w:rPr>
              <w:t xml:space="preserve"> apakšpunkta piemērošanas būtu nepieciešams piemērot 371.9.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371.9. ja pēc šo noteikumu </w:t>
            </w:r>
            <w:r w:rsidR="00000000" w:rsidRPr="00000000" w:rsidDel="00000000">
              <w:rPr>
                <w:rtl w:val="0"/>
              </w:rPr>
              <w:t xml:space="preserve">371.7.</w:t>
            </w:r>
            <w:r w:rsidR="00000000" w:rsidRPr="00000000" w:rsidDel="00000000">
              <w:rPr>
                <w:rtl w:val="0"/>
              </w:rPr>
              <w:t xml:space="preserve"> un </w:t>
            </w:r>
            <w:r w:rsidR="00000000" w:rsidRPr="00000000" w:rsidDel="00000000">
              <w:rPr>
                <w:rtl w:val="0"/>
              </w:rPr>
              <w:t xml:space="preserve">371.8.</w:t>
            </w:r>
            <w:r w:rsidR="00000000" w:rsidRPr="00000000" w:rsidDel="00000000">
              <w:rPr>
                <w:rtl w:val="0"/>
              </w:rPr>
              <w:t xml:space="preserve"> apakšpunktā</w:t>
            </w:r>
            <w:r w:rsidR="00000000" w:rsidRPr="00000000" w:rsidDel="00000000">
              <w:rPr>
                <w:rtl w:val="0"/>
              </w:rPr>
              <w:t xml:space="preserve"> minētās pārdalīšanas un ekoshēmu intervenču maksimālās vienības summas nodrošināšanas veidojas finansējuma pārpalikums, 2023. un 2024. gadā attiecīgais finansējums pārdalāms ilgtspēju sekmējošā ienākumu pamatatbalsta finansēšanai;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23-TA-2935</w:t>
    </w:r>
    <w:r>
      <w:br/>
    </w:r>
    <w:r w:rsidR="00000000" w:rsidRPr="00000000" w:rsidDel="00000000">
      <w:rPr>
        <w:rtl w:val="0"/>
      </w:rPr>
      <w:t xml:space="preserve">30.11.2023. 09.27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23-TA-2935</w:t>
    </w:r>
    <w:r>
      <w:br/>
    </w:r>
    <w:r w:rsidR="00000000" w:rsidRPr="00000000" w:rsidDel="00000000">
      <w:rPr>
        <w:rtl w:val="0"/>
      </w:rPr>
      <w:t xml:space="preserve">30.11.2023. 09.27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Izziņa_23-TA-2935.docx</dc:title>
</cp:coreProperties>
</file>

<file path=docProps/custom.xml><?xml version="1.0" encoding="utf-8"?>
<Properties xmlns="http://schemas.openxmlformats.org/officeDocument/2006/custom-properties" xmlns:vt="http://schemas.openxmlformats.org/officeDocument/2006/docPropsVTypes"/>
</file>