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22-TA-1834: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2016. gada 13. decembra noteikumos Nr. 806 "Noteikumi par Iekšlietu ministrijas sistēmas iestāžu un Ieslodzījuma vietu pārvaldes amatpersonu ar speciālajām dienesta pakāpēm mēnešalgu un speciālo piemaksu noteikšanas kārtību un to apmēru"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- 27.07.2022.)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minēto par nosacīto skalas dalījumu pēc mēnešalgu grupām un to pieauguma. Nevar piekrist, ka 16 mēnešalgu grupa tiek pielīdzināta 17 mēnešalgu grupas pieaugumam, jo salīdzinot šobrīd spēkā esošo mēnešalgu skalu ar piedāvāto secināms sekojošais: 1) minimālās mēnešalgas pieauguma apmērs ir sekojošs: 10% ir no 1 līdz 7 mēnešalgu grupai, 15% no 8 līdz 16 mēnešalgu grupai, bet 17 mēnešalgu grupai 35 % pieaugums. Savukārt vērtējot maksimālās menešalgas pieaugumu secināms, ka vislielākais tas ir 70% 14 mēnešalgu grupai (MAG), savukārt 60% - 13  MAG, 57% - 17 MAG, 55% - 15 MAG, 50 % - 16 MAG. Lūdzam papildus skaidrot uz kā pamata ir šādas izmaiņas.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mēnešalgu skalā nosacītais dalījums 5 grupās (1.- 4. mēnešalgu grupa; 5.-7. mēnešalgu grupa; 8.-12. mēnešalgu grupa; 13.-15. mēnešalgu grupa; 16.-17. mēnešalgu grupa) nenozīmē to, ka tajās ir vienāds mēnešalgas pieaugums pret spēkā esošo mēnešalgu skalu. Šis dalījums nosacīti sagrupē 16 mēnešalgu grupas piecās lielākās grupās, ņemot vērā nepieciešamo izglītību, vadības līmeņus, un veidojot starp šīm grupām lielāku mēnešalgas “lēcienu”, pārejot uz katru nākamo grupu. Jānorāda, ka pašreizējā mēnešalgu skalā tas nav ievērots tik lielā apjomā, cik nepieciešams, un, izstrādājot jaunu mēnešalgu skalu, šis trūkums tiek novērsts.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mēnešalgu pieaugumu pret esošo mēnešalgu skalu skaidrojam, ka tas noteikts, izvērtējot amatpersonām faktiski noteiktās mēnešalgas, to zemākās robežas un augstākās robežas katrā mēnešalgu grupā. Maksimālo mēnešalgu palielinājums katrā mēnešalgu grupā noteikts tā, lai amatpersonām faktiski noteiktās mēnešalgas varētu pakāpeniski palielināt vidēji par 30%, ievērojot Ministru kabineta   2022. gada 22. marta sēdē (protokols Nr. 17 40. §) izskatīto informatīvo ziņojumu "Par priekšlikumiem pakāpeniskai finansējuma palielināšanai valsts aizsardzības spēju un iekšējās drošības stiprināšanai un aizsardzības budžeta pakāpeniskam pieaugumam" un valdības pieņemto lēmumu par finansējuma palielinājumu amatpersonu atlīdzībai. Procentuālie pieaugumi maksimālajām mēnešalgām pret esošo skalu nav vienādi, jo vērtētas amatpersonu faktiskās mēnešalgas. Minimālajām mēnešalgām palielinājums  zemākajām mēnešalgu grupām ir mazāks (10%), bet augstākajām lielāks, vērtējot amatpersonu faktiskās zemākās mēnešalgas, un iestrādājot vismaz 10% mēnešalgu pieaugumu, kuram ir atbalstīta papildu finansējuma piešķiršana ar 2023.gada 1. janvāri.  Mēnešalgu skalas aprēķins veikts tādējādi, lai tās ieviešanu nodrošinātu piešķirto finanšu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Izdienas kritērijam amatpersonas mēnešalgas apmēra noteikšanā piemēro šādus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- 27.07.2022.)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Piemaksa par izdienu ir vērtējama kopsakarā ar izdienas pensiju piešķiršanu, īpaši ņemot vērā piedāvāto izdienas piemaksas apmēru. Piedāvātais piemaksas apmērs ir samērā neliels un vienlaikus par izdienu tiek piedāvātās dubultas sociālās garantijas: izdienas piemaksa kamēr atrodas dienestā un iespēja priekšlaikus pensionēties, kas vienlaikus rada arī problēmas ar kvalificēta un zinoša darbaspēka  priekšlaicīgu izņemšanu no darba tirgus. Vienlaikus nav skaidrs kāpēc šai gadījumā tiek uzskatīts ka piemaksa 20 EUR apmērā būs motivējoša, ja savukārt līdzšinējā piemaksa par ūdenslīdēja pienākumu veikšanu 72 EUR apmērā nav vairs motivējoša.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izdienas kritērijs nav piemaksa, ko maksās papildu noteiktajai mēnešalgai, bet gan nosacījums mēnešalgas apmēra noteikšanai diapazona ietvaros. Iekšlietu ministrijas sistēmas iestāžu un Ieslodzījuma vietu pārvaldes amatpersonu ar speciālajām dienesta pakāpēm dienesta gaitas likuma 5.pants paredz, ka izdienu ņem vērā, nosakot amatpersonas darba samaksu. Ievērojot minēto, Iekšlietu ministrijas sistēmas iestādes un Ieslodzījuma vietu pārvalde, nosakot amatpersonas mēnešalgu, jau šobrīd piemēro izdienas kritēriju, kas ir tikai viens no kritērijiem mēnešalgas apmēra noteikšanā konkrētai amatpersonai. Taču šī kritērija piemērošanas nosacījumi katrai iestādei līdz šim ir savi un atšķirīgi, kā rezultātā dažādās iestādēs dienošām amatpersonām ar vienādu izdienu tās ietekme uz mēnešalgas apmēru ir atšķirīga. Tāpēc situācijas sakārtošanai noteikumu projekts paredz noteikt vienotus nosacījumus izdienas kritērijam mēnešalgas apmēra noteikšanā.  Izdienas ietekme uz mēnešalgas apmēru stimulē amatpersonas ilgāk palikt dienestā. Izdienas kritērija mērķis ir novērtēt amatpersonas ilglaicīgu darbu viena resora ietvaros un ar katru gadu pieaugošo profesionalitāti.  Ministru kabineta 2022. gada 21. jūnija noteikumi Nr.361 „Noteikumi par valsts institūciju amatpersonu un darbinieku darba samaksu un tās noteikšanas kārtību, kā arī par profesijām un specifiskajām jomām, kurām piemērojams tirgus koeficients” (turpmāk – noteikumi Nr.361) paredz, ka individuālo mēnešalgu nosaka, ņemot vērā konkrētās amatpersonas (darbinieka) individuālās kvalifikācijas, kompetences, darba snieguma līmeni un regulāro darba apjomu. Saskaņā ar noteikumu Nr.361 anotāciju  „Profesionālā kvalifikācija un kompetences – nozīmē amatpersonas (darbinieka) izglītības un papildu izglītības līmeni, profesionālās pieredzes ilgumu gados atbilstoši amata prasībām, vadītājiem – arī darbinieku vadīšanas pieredzes ilgumu gados.”. Tātad arī ierēdņu un darbinieku mēnešalgu noteikšanā tiek izmantots profesionālās pieredzes ilgums.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Izdienas kritērijam amatpersonas mēnešalgas apmēra noteikšanā piemēro šādus nosacījumus: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- 27.07.2022.)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un pašvaldību institūciju amatpersonu darbinieku atlīdzības likums paredz tirgus koeficienta piemērošanu atsevišķās jomās nodarbinātajiem lūdzam vērtēt piemaksas  amatpersonām, kuras pilda ar informācijas tehnoloģiju un sakaru jomu saistītus dienesta pienākumus, tai skaitā kibernoziegumu apkarošanas jomā lietderību, īpaši situācijā, ka noteikumu redakcija to paredz līdz 20% apmērā, savukārt tirgus koeficienta iespējas ir 1,5 no mēnešalgas, kas attiecīgi arī palielina noteikto mēnešalgu.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jāsaglabā esošā kārtība, ko nosaka noteikumi Nr. 806 un paredz amatpersonām, kuras pilda ar informācijas tehnoloģiju un sakaru jomu saistītus dienesta pienākumus, tai skaitā kibernoziegumu apkarošanas jomā, piemaksu līdz 20% no mēnešalgas. Ja salīdzina noteikumu Nr. 361  5.pielikumā noteiktos koeficientus, tad secināms, ka  koeficients robežās no 1,3 līdz 1,5 galvenokārt tiek noteikts programmētājiem, bet lielākai daļai pārējo speciālistu ir noteikts koeficients robežās no 1,1 līdz 1,29.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noteikumi Nr.361 profesiju un specifisko jomu, kurām piemērojams tirgus koeficients, sarakstā neparedz specifisko jomu - kibernoziegumu apkarošana, tai pat laikā noteikumi Nr. 361 paredz arī speciālās piemaksas (IV. nodaļa) līdzīgi kā noteikumi Nr.806.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ministrijas sistēmas iestādes paudušas viedokli, ka minētā piemaksa saglabājama līdzšinējā līmenī, un faktiski amatpersonu, kurām šī piemaksa tiek noteikta,  dienesta pienākumi saistīti, piemēram, ar izmeklēšanu, bet  informācijas tehnoloģiju zināšanas ir nepieciešamas kā blakus zināšanas, lai pildītu šos pienākumus. Vēršam uzmanību, ka Iekslietu ministrijas resorā informācijas un komunikācijas joma ir centralizēta Iekšlietu ministrijas Informācijas centrā, un uz tajā nodarbinātajiem attiecas noteikumi Nr.361.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sadaļas punktā “cita informācija” norādīts, ka Ministru kabineta 2022. gada 19. aprīļa sēdē (protokols Nr. 22 38. §) nolemts jautājumu par pakāpenisku atlīdzības palielinājumu 2024. gadam un turpmākajos gados Iekšlietu ministrijas un Tieslietu ministrijas institūcijās nodarbinātajiem un tam nepieciešamo papildu finansējumu skatīt Ministru kabinetā likumprojekta "Par valsts budžetu 2023. gadam" un likumprojekta "Par vidēja termiņa budžeta ietvaru 2023., 2024. un 2025. gadam" sagatavošanas procesā. Vēršam uzmanību, ka ne Iekšlietu ministrija, ne Tieslietu ministrija nav iesniegušas prioritāro pasākumu pieteikumus par pakāpenisku atlīdzības palielinājumu 2024.gadam un turpmākajiem gadiem šo ministriju institūcijās nodarbinātajiem, kas nodrošina valsts iekšējās drošības stiprināšanas pasākumu īstenošanu. Līdz ar to lūdzam precizēt anotācijas 3. sadaļas punktā “cita informācija” sniegto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ir iesniegusi Finanšu ministrijai, Pārresoru koordinācijas centram un Valsts kancelejai starpnozaru prioritārā pasākuma pieteikumu vidējam termiņam “Atlīdzības palielināšana amatpersonām ar speciālajām dienesta pakāpēm, kas nodrošina valsts iekšējās drošības stiprināšanas pasākumu īstenošanu”. Ar attiecīgu informāciju ir papildināta anotācija.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22-TA-1834</w:t>
    </w:r>
    <w:r>
      <w:br/>
    </w:r>
    <w:r w:rsidR="00000000" w:rsidRPr="00000000" w:rsidDel="00000000">
      <w:rPr>
        <w:rtl w:val="0"/>
      </w:rPr>
      <w:t xml:space="preserve">22.08.2022. 21.57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22-TA-1834</w:t>
    </w:r>
    <w:r>
      <w:br/>
    </w:r>
    <w:r w:rsidR="00000000" w:rsidRPr="00000000" w:rsidDel="00000000">
      <w:rPr>
        <w:rtl w:val="0"/>
      </w:rPr>
      <w:t xml:space="preserve">22.08.2022. 21.57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Izziņa_22-TA-1834.docx</dc:title>
</cp:coreProperties>
</file>

<file path=docProps/custom.xml><?xml version="1.0" encoding="utf-8"?>
<Properties xmlns="http://schemas.openxmlformats.org/officeDocument/2006/custom-properties" xmlns:vt="http://schemas.openxmlformats.org/officeDocument/2006/docPropsVTypes"/>
</file>