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22-TA-3562: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Labklājības ministriju konsekventi lietot Izglītības likumā kā izglītības jomas jumta likuma definēto terminoloģiju, aizstājot Ministru kabineta noteikumu projektā un tā anotācijā terminu “apmācības programma” ar “izglītības programma” un “apmācības” ar “mācības” vai “izglītības” attiecīgajā locījumā un skaitā.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 anotācijā veikti redakcionāli precizējumi, aizstājot terminu “apmācības programma” ar “izglītības programma” un “apmācības” ar “mācības” vai “izglītības” attiecīgajā locījumā un skaitā, lai nodrošinātu atbilstību Izglītības likumā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nepārprotamībai  anotācijas apakšsadaļā “Risinājuma apraksts” pilnveidots apraksts par investīcijas ietvaros mērķa grupai plānoto atbalstu. Aprakstā norādīts, ka  mācību pasākumu īstenošanas nosacījumi un pakalpojumu sniedzēju piesaistes kārtība noteikta Ministru kabineta 2011. gada 25. janvāra noteikumos Nr. 75 “Noteikumi par aktīvo nodarbinātības pasākumu un preventīvo bezdarba samazināšanas pasākumu organizēšanas un finansēšanas kārtību un pasākumu īstenotāju izvēles principiem” (turpmāk – MK noteikumi Nr. 75), kuros ir saglabājusies Izglītības likumā lietotajai neatbilstoša terminoloģija – tiek lietoti termini “apmācības” un “apmācības programma”. Tāpat norādīts, ka MK noteikumos Nr. 75 noteiktā terminoloģija ir lietota arī Labklājības ministrijas (turpmāk – LM) izstrādātajā noteikumu projekta 16.3.3. apakšpunktā (iepriekš 15.3.3. apakšpunkts) minētajā metodikā “Vienības izmaksu standarta likmes aprēķina un piemērošanas metodika profesionālās un neformālās izglītības mācību programmas apguves un stipendijas izmaksām” (turpmāk – mācību izmaksu metodika).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atzinumu par LM izstrādāto MK noteikumu projektu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 nav iespējams sniegt norādītajā laikā (3 darba dienas). Vēršam uzmanību, ka atzinums ir lūgts nesamērīgi īsā termiņā un nav iespējams pilnvērtīgi izvērtēt saņemtos dokumentus un sniegt viedokli norādītajā laikā, ņemot vērā, ka šī ir pirmreizējā šo MK noteikumu saskaņošana.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atzinumu sniegs līdz 2023. gada 16.februārim (divas nedēļas kopš izsludināšanas).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izdošanas tiesisko pamatojumu (svītrot vārdus "pirmo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izdošanas tiesiskais pamatojums, norādot, ka tas izdots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sasniedzamos atskaites punktus un mērķrādītājus (turpmāk – atskaites punkti), uzraudzības rādītāju un kopējos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lai būtu skaidrs rādītāju dalījums, noteikumu projektā atskaites punktus un mērķa rādītājus izdalīt atsevišķi, nesaucot tos abus par atskaites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 apakšpunktā precizēts rādītāju sadalījums, atskaites punktus un mērķrādītājus izdalot atsevišķi.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precizējumi veikti arī citos saistītajos noteikumu projekta punktos un anotācijas apakšsadaļā “Risinājuma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sasniedzamos atskaites punktus, mērķrādītājus, uzraudzības rādītāju un kopējos rādītājus;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mērķis ir veicināt bezdarbnieku, darba meklētāju un bezdarba riskam pakļauto personu konkurētspēju un iekļaušanos darba tirgū, īstenojot profesionālās apmācības, pārkvalifikācijas, kvalifikācijas paaugstināšanas un neformālās izglītības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3.punktu, paplašinot norādīto investīcijas mērķi, lai tas atbilstu Eiropas Savienības Atveseļošanas un noturības mehānisma (turpmāk - AF) plānā noteiktajam. Šobrīd, piemēram, iztrūkst bezdarbnieku un darba meklētāju profilēšanas rīka pilnveide, digitālo prasmju vērtēšanas rīka pielāgošana un ieviešana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3. punkta redakcija, paplašinot norādīto investīcijas mērķi, lai tas atbilstu Eiropas Savienības Atveseļošanas un noturības mehānisma  (turpmāk – AF) plānā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precizējumi investīcijas mērķa definējumā veikti arī anotācijas apakšsadaļā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mērķis ir veicināt bezdarbnieku, darba meklētāju un bezdarba riskam pakļauto personu konkurētspēju un iekļaušanos darba tirgū, īstenojot profesionālās izglītības, pārkvalifikācijas, kvalifikācijas paaugstināšanas un neformālās izglītības pasākumus, un uzlabotas profilēšanas sistēmas ietvaros izstrādāt un ieviest digitālus prasmju novērtēšanas rīkus efektīvāka individuālā pārkvalificēšanās un prasmju pilnveides piedāvājuma veidošanai, uzsvaru liekot uz digitālajām prasmēm.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mērķis ir veicināt bezdarbnieku, darba meklētāju un bezdarba riskam pakļauto personu konkurētspēju un iekļaušanos darba tirgū, īstenojot profesionālās apmācības, pārkvalifikācijas, kvalifikācijas paaugstināšanas un neformālās izglītības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demarkāciju ar Izglītības un zinātnes ministrijas atbalsta programmām nodarbināto personu profesionālās kompetences pilnveidei, lūdzam Ministru kabineta noteikumu projektā paredzēt kritērijus, kas tiks vērtēti, lai konstatētu, ka personai ir darba tirgus prasībām nepietiekama izglītība vai prasmes atbilstoši Bezdarbnieku un darba meklētāju atbalsta likuma 15.</w:t>
            </w:r>
            <w:r w:rsidR="00000000" w:rsidRPr="00000000" w:rsidDel="00000000">
              <w:rPr>
                <w:vertAlign w:val="superscript"/>
                <w:rtl w:val="0"/>
              </w:rPr>
              <w:t xml:space="preserve">1</w:t>
            </w:r>
            <w:r w:rsidR="00000000" w:rsidRPr="00000000" w:rsidDel="00000000">
              <w:rPr>
                <w:rtl w:val="0"/>
              </w:rPr>
              <w:t xml:space="preserve"> panta 2. punktam.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Demarkācijas ar Izglītības un zinātnes ministrijas atbalsta programmās nodarbināto personu profesionālās kompetences pilnveidei nodrošināšanai, noteikumu projekts papildināts ar jaunu punktu (atbalstoši precizējot pārējo notikumu projekta punktu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apakšsadaļa “Risinājuma apraksts” papildināta, t.sk., skaidrojot, ka ir vairākas līdzīgas atbalstāmās darbības investīcijas, darbības programmas “Izaugsme un nodarbinātība” 8.4.1. specifiskajā atbalsta mērķī “Pilnveidot nodarbināto personu profesionālo kompetenci” un AF 2.3.1.4.i. investīcijas “Individuālo mācību kontu pieejas attīstība” (turpmāk – 2.3.1.4.i. investīcija) ietvaros, kas attiecas uz nodarbinātām personām (investīcijas ietvaros – bezdarba riskam pakļautajām personām). Attiecīgi noteikumu projektā ir noteikta demarkācija, lai novērstu dubultā finansējuma riskus. Demarkācija attiecas uz atbalstu profesionālās pilnveides izglītības programmu apguvei, kas nodarbinātajam dod iespēju apgūt darba tirgus prasībām atbilstošas sistematizētas profesionālās zināšanas un prasmes.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vērst uzmanību, ka ar mērķi uzlabot klientu profilēšanu un nodrošināt mērķētāku iesaisti mācību pasākumos (t.sk., lai novērtētu, vai personai ir darba tirgum nepietiekamas zināšanas un prasmes), investīcijas ietvaros tiks izstrādāts digitālais rīks prasmju novērtēšanai, kas ļaus iegūt padziļinātu informāciju par personas prasmju atbilstību darba tirgus vajadzībām un noteikto mācību veidu/programmu nepieciešamību. Profilēšanas sistēmas un datu analīzes pilnveidojumi pašreiz tiek veikti arī Eiropas Komisijas Strukturālo reformu atbalsta ģenerāldirektorāta Tehniskā atbalsta instrumenta projekta “Latvijas nodarbinātības dienesta digitālo sistēmu modernizēšana”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mērķis ir uzlabot arī Latvijas iedzīvotāju (bezdarbnieku un nodarbināto personu) digitālās prasmes, piedāvājot iesaisti dažādās mācību programmās neformālās izglītības ietvaros. Ierosinām saglabāt iepriekš panākto vienošanos, kura tiek īstenota darbības programmas “Izaugsme un nodarbinātība” 14.1.2. specifiskā atbalsta mērķa “Atveseļošanas pasākumi labklājības jomā” ietvaros, ka īstermiņa programmas, kas ir vērstas uz IT/digitālo prasmju apguvi, nodrošina Nodarbinātības valsts aģentūra (turpmāk – NVA). Šāda veida digitālo prasmju apguves mācībās 2024. – 2025. gada periodā ir plānots iesaistīt vidēji 2 000 – 3 000 nodarbināto personu (vidēji 1 000 – 2 000 personas gadā) jeb 0,3% no kopējā nodarbināto skaita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Tuvākajā laikā ir plānots izveidot Cilvēkkapitāla attīstības padomi, kas apvienos vairāku komisiju un darba grupu, kuros tiek apstiprinātas mācību programmas iedzīvotājiem, darbu (ieskaitot LM Apmācības komisijas darbu). Tas ļaus pārskatīt esošos izglītības programmu veidus, to nosaukumus un sarakstus, kā arī to saturu, lai nodrošinātu to nepārklāšanos vienai un tai pašai mērķa grupai. Tāpat ir plānots izveidot individuālo mācību kontu sistēmu, kas tajā skaitā ļautu sekot līdzi mācību gaitām personas līmenī un nodrošināt, ka persona nepiedalās pēc satura līdzvērtīgās mācībās, kuras tiek finansētas no ES fondiem.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Eurostat 2019.gada datiem, Latvijā pieaugušajiem vecumā 25 – 64 gadi saglabājas viens no zemākajiem digitālo prasmju līmeņiem, salīdzinājumā ar citām Baltijas un Eiropas valstīm – 45% ir zems digitālo prasmju līmenis, līdz ar to būtu svarīgi saglabāt iespēju piedāvāt šāda veida mācības pēc iespējas plašākam iedzīvotāju skaitam.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mērķis ir veicināt bezdarbnieku, darba meklētāju un bezdarba riskam pakļauto personu konkurētspēju un iekļaušanos darba tirgū, īstenojot profesionālās izglītības, pārkvalifikācijas, kvalifikācijas paaugstināšanas un neformālās izglītības pasākumus, un uzlabotas profilēšanas sistēmas ietvaros izstrādāt un ieviest digitālus prasmju novērtēšanas rīkus efektīvāka individuālā pārkvalificēšanās un prasmju pilnveides piedāvājuma veidošanai, uzsvaru liekot uz digitālajām prasmēm.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6.1.3. līdz 2025. gada 31. martam – 10 000 bezdarbnieki, darba meklētāji, bezdarba riskam pakļautie iedzīvotāji ar uzlabotām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6.1.3.un 6.1.4.apakšpunktos norādītie rādītāji ir mērķa rādītāji, lūgums tos nenorādīt zem 6.1.apakšpunkta (pie atskaites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4.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līdz 2026. gada 30. septembrim  – 20 450 bezdarbnieki, darba meklētāji, bezdarba riskam pakļautie iedzīvotāji ar uzlabotām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6.1.4.apakšpunktu. Skat.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projekta izdevumu veikšanas termiņš un investīciju ieviešanas termiņš ir no 2020.gada 1.februāra l</w:t>
            </w:r>
            <w:r w:rsidR="00000000" w:rsidRPr="00000000" w:rsidDel="00000000">
              <w:rPr>
                <w:b w:val="1"/>
                <w:rtl w:val="0"/>
              </w:rPr>
              <w:t xml:space="preserve">īdz 2026.gada 31.augustam.</w:t>
            </w:r>
            <w:r w:rsidR="00000000" w:rsidRPr="00000000" w:rsidDel="00000000">
              <w:rPr>
                <w:rtl w:val="0"/>
              </w:rPr>
              <w:t xml:space="preserve"> Rādītājiem termiņi noteikti AF plāna 2.pielikumā un Padomes īstenošanas lēmumā par Latvijas atveseļošanas un noturības mehānisma plāna novērtējuma apstiprināšanu (turpmāk – CID). </w:t>
            </w:r>
            <w:r w:rsidR="00000000" w:rsidRPr="00000000" w:rsidDel="00000000">
              <w:rPr>
                <w:b w:val="1"/>
                <w:rtl w:val="0"/>
              </w:rPr>
              <w:t xml:space="preserve">Līdz 2026.gada 31.augustam</w:t>
            </w:r>
            <w:r w:rsidR="00000000" w:rsidRPr="00000000" w:rsidDel="00000000">
              <w:rPr>
                <w:rtl w:val="0"/>
              </w:rPr>
              <w:t xml:space="preserve"> nepieciešams nodrošināt noteikto rādītāju sasniegšanu, investīcijas darbību veikšanu, maksājumu veikšanu, kā arī nodrošināt visu nepieciešamo pārbaužu veikšanu, lai pārliecinātos par rādītāju sasniegšanu un izdevumu attiecināmību. Ņemot vērā iepriekš minēto, lūdzam paredzēt rādītāja sasniegšanas termiņu līdz 2026.gada 30.jūnijam.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rādītājs (130) "Bezdarbnieki , darba meklētāji, bezdarba riskam pakļautās personas ar pilnveidotām prasmēm" –20 450 </w:t>
            </w:r>
            <w:r w:rsidR="00000000" w:rsidRPr="00000000" w:rsidDel="00000000">
              <w:rPr>
                <w:b w:val="1"/>
                <w:rtl w:val="0"/>
              </w:rPr>
              <w:t xml:space="preserve">līdz 2026. gada 30.jūnijam.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6.2.2. apakšpunkts (iepriekš 6.1.4. apakšpunkts). Precizējumi veikti mērķrādītāja sasniegšanas termiņā, ievērojot, ka   līdz 2026. gada 31. augustam nepieciešams nodrošināt noteikto rādītāju sasniegšanu, investīcijas darbību veikšanu, maksājumu veikšanu, kā arī nodrošināt visu nepieciešamo pārbaužu veikšanu, lai pārliecinātos par rādītāju sasniegšanu un izdevumu attiecināmību.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precizējumi veikti arī anotācijas apakšsadaļā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noteikumu 6.1.2. apakšpunktā minētā atskaites punkta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Darbības kārtību atskaites punktam kā pamatojošā dokumentācija norādīta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"dalībnieku saraksts (anonimizēts), kam tika veikta profilēšana (izdruka no bezdarbnieku reģistrācijas un informācijas sistēmas IS BURVIS)". Lūgums papildināt apakšpunktu ar minēto dokumentāciju.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7.2. apakšpunkts papildināts ar 7.2.4.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precizējumi veikti arī noteikumu projekta 7.3.1. apakšpunktā un anotācijas apakšsadaļā “Risinājuma apraksts”. Anotācijā skaidrota  anonimizēta saraksta iesniegšanas kārtība un biežums.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šo noteikumu 6.1.2. apakšpunktā minētā atskaites punkta sasniegšanai: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finansējuma saņēmēja īss apraksts par izstrādāto rīku prasmju novērtēšanai, kas pierāda atbilstību sniegtajam atskaites punkta aprakstam, tajā skaitā kā rīks uzlabos klientu profilēšanas metodi atbilstoši atskaites punkta aprakstam;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digitālo rīku prasmju novērtēšanai varēs izmantot ne tikai Nodarbinātības valsts attīstības klienti, bet arī visi pieaugušie, kam tas būtu nepieciešams turpmāko mācību izvēlei vai karjeras attīstības atbalsta pasākumu ietvaros. Vienlaikus lūdzam skat. Izglītības un zinātnes ministrijas iebildumu par rīka aprakstu Ministru kabineta noteikumu projekta anotācijas sadaļā “Risinājumu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projektā nav noteikts ierobežojums digitālā rīka prasmju novērtēšanai izmantošanai tikai noteikumu projektā iekļautajai mērķa 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26.2.11. apakšpunktu, nosakot, ka  finansējuma saņēmējs noteikumu projekta 15.12. apakšpunktā minētos digitālos rīkus prasmju novērtēšanai var darīt publiski pieejamus jebkuram interesentam.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atskaites punkta par digitālā rīka izstrādi aprakstā jau ir noteikts, ka tā ieviešanas rezultātā sagaidāms, ka NVA ir ieviesusi digitālu novērtēšanas rīku uzlabotai prasmju profilēšanas sistēmai, kas nodrošina NVA klientu prasmju un kompetenču novērtēšanu. NVA jau izmantoto klientu profilēšanas metodi ir plānots papildināt ar  digitālu rīku (testiem) prasmju novērtēšanai, un testu rezultātus izmantot klientu karjeras konsultāciju procesā. Nepārprotamībai anotācija papildināta, norādot, ka digitālais rīks būs pieejams visiem Latvijas iedzīvotājiem.  Digitālo rīku prasmju novērtēšanai plānots ievietot NVA portālā, lai to varētu izmantot interesenti turpmāko mācību izvēlei vai karjeras attīstības plānošanai. Plānota arī sadarbība ar Izglītības un zinātnes ministriju un Valsts izglītības attīstības aģentūru digitālā rīka iespējamai integrēšanai  un savietojamībai ar plānoto Prasmju pārvaldības platformu AF 2.3.1.4.i. investīcijas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finansējuma saņēmēja īss apraksts par prasmju novērtēšanai izstrādātajiem digitālajiem rīkiem, kas pierāda atbilstību sniegtajam atskaites punkta aprakstam, tajā skaitā kā digitālie rīki uzlabos klientu profilēšanas metodi atbilstoši atskaites punkta aprakstam;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Finansējuma saņēmējs šo noteikumu 14.15. apakšpunktā minētās atbalstāmās darbības īstenošanā piesaista sadarbības partneri – Izglītības kvalitātes valsts dienestu (turpmāk – sadarbības partneris), kas veic izglītības kvalitātes monitoringu un sniedz atbalstu izglītības procesa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arī sadarbības partneriem tiks izmaksāts Atveseļošanas fonda finansējums, lūdzam papildināt noteikumu projektu, ka arī sadarbības partneris tiks izvērtēts atbilstoši Finanšu regulā noteiktajiem izslēgšanas kritērijiem. Papildus lūdzam papildināt anotāciju ar skaidrojumu, norādot sadarbības partnera lomu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sadarbības partnera loma investīcijas īstenošanā ir iekļauta anotācijas apakšsadaļā “Risinājuma apraksts” atbalstāmo darbību aprakstā. Skatīt 15. atbalstāmās darbības aprakstu.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23.3. apakšpunkts (iepriekš 21.3.1. apakšpunkts), norādot, ka arī sadarbības partneris tiks izvērtēts atbilstoši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Finansējuma saņēmējs šo noteikumu 15.15. apakšpunktā minētās atbalstāmās darbības īstenošanā piesaista sadarbības partneri – Izglītības kvalitātes valsts dienestu (turpmāk – sadarbības partneris), kas veic izglītības kvalitātes monitoringu un sniedz atbalstu izglītības procesa īstenošanā.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rīka izstrāde un ieviešana;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14.12. apakšpunktu, lai varētu identificēt kādu rīku plānots izstrādāt.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15.12. apakšpunkts. Atbilstoši precizējumi veikti visā noteikumu tekstā.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digitālo rīku prasmju novērtēšanai izstrāde un ieviešana;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Investīcijas ietvaros attiecināmas šādas izmaksu pozīcijas: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15.punkta apakšpunktos netiek minētas atšķirīgas atbalstāmās darbības un izmaksas, nekā ir minētas AF plānā un 2.pielikumā. Tā piemēram, redzes korekcijas līdzekļu kompensācijas izmaksas, utt. Papildus lūdzam anotācijā norādīt, ka administratīvās izmaksas tiks segtas no AF finansējuma un tas netraucēs sasniegt AF investīcijai noteiktos sasniedzamos rādītājus noteiktajos termiņos, kā arī lūdzam sniegt skaidrojumu, ka šādas izmaksas neaizvietos resora ikdienas plānotos kārtējos administratīvos  izdevumus. Lūdzam anotācijā arī norādīt informāciju, ka AF investīcijas administrēšanai netiks pieprasīti papildu finanšu līdzekļi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investīcijas noteikumu projektā aprakstītās darbības ir nepieciešamas AF plānā noteiktā investīcijas mērķa sasniegšanai. Noteikumu projekta 16. punktā (iepriekš 15. punktā) ietvertās izmaksu pozīcijas ir norādītas saskaņā ar AF plāna 2. pielikumu un ir nepieciešamas, lai nodrošinātu investīcijas atbalstāmo darbību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ir ietverts sekojošs apraksts: “Investīcijas ietvaros ir plānotas šādas atbalstāmās darbības un to indikatīvās AF izmaksas:”. Minētā apraksta 16. punktā ir aprakstīta investīcijas noteikumu projekta 15.16. apakšpunktā (iepriekš 14.16. apakšpunkts) ietvertā  atbalstāmā darbība – projekta vadība un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Nepārprotamībai anotācija papildināta ar norādi, ka investīcijas īstenošanai nepieciešamās projekta vadības un īstenošanas izmaksas tiks segtas no AF finansējuma un tas netraucēs sasniegt AF investīcijas sasniedzamos rādītājus noteiktajos termiņos. AF finansētās projekta vadības un īstenošanas izmaksas neaizvietos resora ikdienas plānotos kārtējos administratīvos  izdevumus. AF investīcijas administrēšanai netiks pieprasīti papildu valsts budžeta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ietvaros attiecināmas šādas izmaksu pozīcijas: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projekta vadības izmaksas, kuras ietver finansējuma saņēmēja projekta vadības un projekta īstenošanas personāla izmaksas un sadarbības partnera projekta īstenošanas personāla izmaksas,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b w:val="1"/>
                <w:rtl w:val="0"/>
              </w:rPr>
              <w:t xml:space="preserve">visām izmaksām</w:t>
            </w:r>
            <w:r w:rsidR="00000000" w:rsidRPr="00000000" w:rsidDel="00000000">
              <w:rPr>
                <w:rtl w:val="0"/>
              </w:rPr>
              <w:t xml:space="preserve">, kas nepieciešamas, lai sasniegtu Darbības noteikumos (</w:t>
            </w:r>
            <w:r w:rsidR="00000000" w:rsidRPr="00000000" w:rsidDel="00000000">
              <w:rPr>
                <w:i w:val="1"/>
                <w:rtl w:val="0"/>
              </w:rPr>
              <w:t xml:space="preserve">Operational Arrangements)</w:t>
            </w:r>
            <w:r w:rsidR="00000000" w:rsidRPr="00000000" w:rsidDel="00000000">
              <w:rPr>
                <w:rtl w:val="0"/>
              </w:rPr>
              <w:t xml:space="preserve"> noteiktos atskaites punktus un mērķus, </w:t>
            </w:r>
            <w:r w:rsidR="00000000" w:rsidRPr="00000000" w:rsidDel="00000000">
              <w:rPr>
                <w:b w:val="1"/>
                <w:rtl w:val="0"/>
              </w:rPr>
              <w:t xml:space="preserve">jābūt iekļautām Atveseļošanas fonda plāna izmaksās/aprēķinos, kas tika apstiprināti no Eiropas Komisijas puses</w:t>
            </w:r>
            <w:r w:rsidR="00000000" w:rsidRPr="00000000" w:rsidDel="00000000">
              <w:rPr>
                <w:rtl w:val="0"/>
              </w:rPr>
              <w:t xml:space="preserve">. Atbilstoši Eiropas Komisijas sniegtajai informācijai, iestāžu esošo darbinieku tekošās atalgojuma izmaksas nav finansējamas no Atveseļošanas fonda plāna finansējuma, jo Atveseļošanas fonda plāna finansējums nav paredzēts iestādes ikdienas funkciju izmaksu segšanai. Ja Atveseļošanas fonda plāna ietvaros tiek īstenots projekts/reforma, kura īstenošana nav tieši saistīta ar iestādes ikdienas procesiem un funkcijām, šīs funkcijas ir nodalāmas, kā arī darbiniekam Atveseļošanas fonda plāna finansēta projekta/reformas ietvaros nāksies veikt pienākumus, kas nav viņa ikdienas pienākumu ietvaros, iestāde var vērtēt projekta/reformas vadības un īstenošanas personāla atalgojuma izmaksas segt no Atveseļošanas fonda plāna līdzekļiem, vienlaikus nodrošinot paredzēto mērķu un atskaites punktu atbilstošu sasniegšanu noteiktajā apmērā. Nodarbinātības formu un veidu iestāde organizē atbilstoši iestādes ierastajai kārtībai un Darba likumam. Kā arī atgādinām, ka specifiski attiecināmības jautājumi individuāli ir jāskaņo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NVA AF plāna projektu īstenošana nav ikdienas funkcija, jo projekts ir unikāls darbību, pasākumu kopums ar noteiktu mērķi un rezultātu, kas sasniedzams noteiktā termiņā. Attiecīgi projekta būtība liecina, ka tas ir terminēts darbs ar konkrētu mērķi. Visas investīcijas noteikumu projektā paredzētās izmaksas ir iekļautas AF plāna izmaksās/aprēķinos, kas tika apstiprināti no Eiropas Komisijas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bez projekta vadības un īstenošanas personāla izmaksām nav iespējama investīcijas projekta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projekta vadības un īstenošanas izmaksas, kuras ietver finansējuma saņēmēja projekta vadības un projekta īstenošanas personāla izmaksas un sadarbības partnera projekta īstenošanas personāla izmaksas,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iekšzemes komandējumu un darba (dienesta) braucienu izmaksas. Iekšzemes komandējumu un darba (dienesta) braucienu izmaksām piemēro Finanšu ministrijas izstrādāto metodiku “Vienas vienības izmaksu standarta likmes aprēķina un piemērošanas metodika 1 km izmaksām darbības programmas “Izaugsme un nodarbinātība” un Eiropas Savienības kohēzijas politikas programmas 2021.–2027. gadam  īstenošanai” (turpmāk – viena kilometra izmaksu metodika) un metodiku “Vienas vienības izmaksu standarta likmes aprēķina un piemērošanas metodika iekšzemes komandējumu izmaksām darbības programmas “Izaugsme un nodarbinātība” īstenošanai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Ministru kabineta 2009. gada 3. februāra noteikumu Nr. 108 "Normatīvo aktu projektu sagatavošanas noteikumi" 136. punktā noteiktajam, ka noteikumu projektā </w:t>
            </w:r>
            <w:r w:rsidR="00000000" w:rsidRPr="00000000" w:rsidDel="00000000">
              <w:rPr>
                <w:u w:val="single"/>
                <w:rtl w:val="0"/>
              </w:rPr>
              <w:t xml:space="preserve">neietver atsau­ces uz zemāka juridiskā spēka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citas noteikumu projekta normas, kurās ietvertas šādas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16.1.2.  un 16.2.1.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iekšzemes komandējumu un darba braucienu izmaksas. Iekšzemes komandējumu un darba braucienu izmaksām piemēro Finanšu ministrijas izstrādātās metodikas par vienas vienības izmaksu standarta likmes aprēķinu un piemērošanu 1 km izmaksām un iekšzemes komandējumu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15.3.6.4. darba vietas pielāgošanas izmaksas bezdarbniekam ar invaliditāti, tai skaitā iekārtu un aprīkojuma iegādes un tehnisko palīglīdzekļu izgatavošanas un iegādes izmaksas, kuras piešķir kā vienreizēju dotāciju;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norādīto informāciju ar anotācijas sadaļā "Ar valsts atbalstu saistītie nosacījumi" norādīto, kur minētas mācību vietas pielāgošanas izmaksas, nevis darba vietas pielāgošanas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sadaļā “Ar valsts atbalstu saistītie nosacījumi”, norādot, ka tās ir  darba vietas (nevis mācību  vietas) pielāgošanas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16.3.6.4. darba vietas pielāgošanas izmaksas bezdarbniekam ar invaliditāti, tai skaitā iekārtu un aprīkojuma iegādes un tehnisko palīglīdzekļu izgatavošanas un iegādes izmaksas, kuras piešķir kā vienreizēju dotāciju;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Netiešās attiecināmās izmaksas finansējuma saņēmējs un sadarbības partneris projektā plāno kā vienu izmaksu pozīciju, piemērojot netiešo izmaksu vienoto likmi septiņu procentu apmērā no šo noteikumu 15. punktā minētajām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17. punktu, ņemot vērā, ka Atveseļošanas fonda ietvaros netiek paredzēts "netiešo" un "tiešo" izmaksu dalījums. Attiecīgi precizējama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18. punkts (iepriekš 17. punkts), ievērojot, ka AF ietvaros netiek paredzēts tiešo un netiešo izmaksu sadalījums.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precizējumi, izslēdzot terminu – netiešās izmaksas,  veikti arī anotācijas sadaļā “Risinājuma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Izmaksas, kas nav tieši saistītas ar projekta rezultātu sasniegšanu, bet atbalsta un nodrošina atbilstošus apstākļus projekta darbību īstenošanai un projekta rezultātu sasniegšanai, finansējuma saņēmējs un sadarbības partneris projektā plāno kā vienu izmaksu pozīciju, piemērojot vienoto likmi septiņu procentu apmērā no šo noteikumu 16. punktā minētajām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10 darbdienu laikā pēc šo noteikumu spēkā stāšanās nosūta projekta iesniedzējam uzaicinājumu iesniegt projekta veidlapu, informējot Centrālo finanšu un līgumu aģentūru (turpmāk – aģentūra) par ministrijas nosūtīto uzaicinājumu un aicinot aģentūru veikt šo noteikumu 21.3. apakšpunktā minētās darbības. Uzaicinājumā projekta iesniedzējam norāda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nolūkos precizēt, skaidri norādot, </w:t>
            </w:r>
            <w:r w:rsidR="00000000" w:rsidRPr="00000000" w:rsidDel="00000000">
              <w:rPr>
                <w:u w:val="single"/>
                <w:rtl w:val="0"/>
              </w:rPr>
              <w:t xml:space="preserve">kas </w:t>
            </w:r>
            <w:r w:rsidR="00000000" w:rsidRPr="00000000" w:rsidDel="00000000">
              <w:rPr>
                <w:rtl w:val="0"/>
              </w:rPr>
              <w:t xml:space="preserve">nosūta projekta iesniedzējam uzaicinājumu iesniegt projekta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23.1. apakšpunkts (iepriekš 21.1. apakšpunkts), norādot, ka LM nosūta projekta iesniedzējam uzaicinājumu iesniegt projekta veidlapu. Punkta redakcija precizēta arī saturiski, ievērojot LM funkcijas.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ministrija piecu darbdienu laikā pēc šo noteikumu spēkā stāšanās nosūta projekta iesniedzējam uzaicinājumu iesniegt projekta veidlapu (turpmāk – projekta veidlapa);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finansējuma saņēmējs 20 darbdienu laikā pēc uzaicinājuma saņemšanas vadības informācijas sistēmā iesniedz projekta veidlapu, ievērojot šo noteikumu 21.1. apakšpunktā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"ievērojot šo noteikumu 21.1. apakšpunktā noteikto", jo projekta veidlapas aizpildīšanā jāievēro arī citas šo notiekumu prasības (sk. piemēram, arī šī paša 21.punkta 21.3.1.apakšpunktu).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kopumā pārskatīt noteikumu projektā ietvertās iekšējās atsauces, un izvērtēt, vai visos gadījumos tās tiešām ir nepieciešamas.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23.2. apakšpunkts (iepriekš 21.2. apakšpunkts), izslēdzot atsauci uz 21.1.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noteikumu projekta tekstā pārskatīts atsauču lietojums.   Nepārprotamības nodrošināšanai, kur nepieciešams, atsauces atstātas.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finansējuma saņēmējs 20 darbdienu laikā pēc uzaicinājuma saņemšanas vadības informācijas sistēmā iesniedz projekta veidlapu;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aģentūra mēneša laikā pēc šo noteikumu 21.2. apakšpunktā minētās projekta veidlapas saņemšanas, ja nepieciešams, sadarbojoties ar ministriju,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investīcijas ietvaros Centrālā finanšu un līgumu aģentūra (turpmāk- CFLA) neveic atlasi, lūgums noteikumu projektā paredzēt, ka projekta veidlapas pārbaudi nodrošinās un lēmumu par tās apstiprināšanu pieņems Nozares ministrija, sniedzot informāciju CFLA, kad var uzsākt vienošanās ar finansējuma saņēmēju slēgšanu.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23. punkts un tā apakšpunkti (iepriekš 21. punkts), kā arī 24. punkts un tā apakšpunkti (iepriekš 22. punkts), paredzot, ka projekta veidlapas pārbaudi nodrošinās un lēmumu par tās apstiprināšanu pieņems LM, sniedzot informāciju Centrālai finanšu un līgumu aģentūrai (turpmāk – CFLA), kad var uzsākt vienošanās par projekta īstenošanu ar finansējuma saņēmēju slēgšanu.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ministrija 15 darbdienu laikā pēc šo noteikumu 23.2. apakšpunktā minētās projekta veidlapas saņemšanas pārbauda projekta veidlapas atbilstību šo noteikumu nosacījumiem un  projekta veidlapā pieprasītajai informācijai, kā arī, sadarbojoties ar aģentūru, pārliecinās, ka uz projekta iesniedzēju un sadarbības partneri nav attiecināmi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Komisijas regula Nr. 2018/1046), 136. pantā noteiktie izslēgšanas kritēriji (turpmāk – izslēgšanas kritēriji);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aģentūra mēneša laikā pēc šo noteikumu 21.2. apakšpunktā minētās projekta veidlapas saņemšanas, ja nepieciešams, sadarbojoties ar ministriju, veic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Centrālā finanšu un līgumu aģentūra (turpmāk- CFLA) veiks darbības saskaņā ar iekšējo kārtību, lūgums visā noteikumu projekta tekstā neatrunāt konkrētus termiņus CFLA darbību veikšanai (21.3., 26.2., 26.4.apakšp.).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noteikumu projekta tekstā redakcionāli precizēti nosacījumi, izslēdzot atsevišķus termiņus, kas noteikti CFLA procedūrās.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NVA informētības nodrošināšanai par projekta grozījumu virzības termiņu, noteikumu projekta 27.5. apakšpunktā (iepriekš 26.6. apakšpunktā) atstātas norādes, cik dienu laikā CFLA saņems LM konsultāciju projekta grozījumu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Detalizētāku pamatojumu skatīt izziņas 28.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ministrija 15 darbdienu laikā pēc šo noteikumu 23.2. apakšpunktā minētās projekta veidlapas saņemšanas pārbauda projekta veidlapas atbilstību šo noteikumu nosacījumiem un  projekta veidlapā pieprasītajai informācijai, kā arī, sadarbojoties ar aģentūru, pārliecinās, ka uz projekta iesniedzēju un sadarbības partneri nav attiecināmi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Komisijas regula Nr. 2018/1046), 136. pantā noteiktie izslēgšanas kritēriji (turpmāk – izslēgšanas kritēriji);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projekta īstenošanas un uzraudzības nosacījumi, tai skaitā dokumentu iesniegšanai un izskatīšanai, vizuālās identitātes prasību nodrošināšanai, atskaites punktu pamatošanai, pašnovērtējuma sagatavošanai, pārbaužu veikšanai un datu ievadei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kādu pašnovērtējumu ir plānots sagatavot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24.5. apakšpunkts (iepriekš 22.5. apakšpunkts), izslēdzot prasību pašvērtējuma sagatavošanai, jo tas nav attiecināms uz šo investīciju, kā arī papildinot ar norādi par mērķrādītājiem.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 projekta īstenošanas un uzraudzības nosacījumi, tai skaitā dokumentu iesniegšanai un izskatīšanai, vizuālās identitātes prasību nodrošināšanai, atskaites punktu un mērķrādītāju pamatošanai, pārbaužu veikšanai un datu ievadei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Pēc šo noteikumu pieņemšanas Ministru kabinetā ministrija normatīvajos aktos par kārtību, kādā veic gadskārtējā valsts budžeta likumā noteiktās apropriācijas izmaiņas, noteiktajā kārtībā, organizē valsts budžeta līdzekļu pieejamību projekta priekšfinansēšanai, tai skaitā pievienotās vērtības nodokļa segšanai, pieprasot finansējumu apropriācijas pārdalei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24.punktu, vārdu “šo noteikumu pieņemšanas Ministru kabinetā” vietā lietojot vārdus “projekta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 punktā norādītā informācija, atbilstoši Tieslietu ministrijas iebildumam (skatīt izziņas 23. punktā), ietverta protokollēmumā. Atbilstoši precizēta noteikumu projekta punktu numerācija.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noteikumu projekts paredz finanšu attiecināmību no 2023. gada 1. februāra. NVA finansējums  investīcijas īstenošanai nepieciešams, nesagaidot projekta apstiprinājumu.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Pēc šo noteikumu pieņemšanas Ministru kabinetā ministrija normatīvajos aktos par kārtību, kādā veic gadskārtējā valsts budžeta likumā noteiktās apropriācijas izmaiņas, noteiktajā kārtībā, organizē valsts budžeta līdzekļu pieejamību projekta priekšfinansēšanai, tai skaitā pievienotās vērtības nodokļa segšanai, pieprasot finansējumu apropriācijas pārdalei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24.punktu un attiecīgo uzdevumu Labklājības ministrijai, ja tāds nepieciešams, iekļaut Ministru kabineta sēdes protokollēmumā.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vārdus "Pēc šo noteikumu pieņemšanas Ministru kabinetā" nepieciešams aizstāt ar vārdiem "pēc šo noteikumu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22.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 parakstījuši apliecinājumus par pienākumu ziņot par konstatētajiem vai iespējamajiem trūkumiem un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apliecinājumu paraksta arī par interešu konflikta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26.1.1.2. apakšpunkts (iepriekš 25.1.1.2. apakšpunkts) papildināts ar norādi, ka apliecinājumu paraksta arī par interešu konflikta neesamību.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 parakstījuši apliecinājumus par interešu konflikta neesamību saskaņā ar  Komisijas regulas Nr. 2018/1046 61. pantu un publisko iepirkumu regulējošiem normatīviem aktiem un pienākumu ziņot par konstatētajiem vai iespējamajiem trūkumiem un pārkāpumiem;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25.1.11. nodrošina, ka normatīvajos aktos par Eiropas Savienības Atveseļošanas un noturības mehānisma fonda plāna īstenošanas un uzraudzības kārtību un Eiropas Parlamenta un Padomes 2021. gada 12. februāra Regulas (ES) 2021/241, ar ko izveido Atveseļošanas un noturības mehānismu, 22. panta 2. punkta “e” apakšpunktā minētajām institūcijām  projekta īstenošanas laikā un visā šo noteikumu 25.1.12. apakšpunktā noteiktajā dokumentu glabāšanas termiņā ir pieejami visi ar projekta īstenošanu saistītie dokumentu oriģināli un grāmatvedības sistēmas dati. Dokumentu un datu pieejamību nodrošina vadības informācijas sistēmā vai pie finansējuma saņēmēja. Ja dokumenti un dati ir pieejami tikai pie finansējuma saņēmēja, nodrošina to iesniegšanu institūcijai, kas atbilstoši normatīvajos aktos par Eiropas Savienības Atveseļošanas un noturības mehānisma plāna īstenošanas un uzraudzības kārtību noteiktajai kompetencei to pieprasa;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25.1.11. punktu, norādot, ka informācijas pieejamība tiek nodrošināta arī Latvijas Republikas un Eiropas Komisijas finansēšanas nolīgumā par Atveseļošanas un noturības mehānismu minētajām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26.1.11. apakšpunkts (iepriekš 25.1.11. apakšpunkts) papildināts ar norādi, ka informācijas pieejamība tiek nodrošināta arī Latvijas Republikas un Eiropas Komisijas finansēšanas nolīgumā par Atveseļošanas un noturības mehānismu minētajām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26.1.11. nodrošina, ka normatīvajos aktos par Eiropas Savienības Atveseļošanas fonda plāna īstenošanas un uzraudzības kārtību un regulas Nr. 2021/241 22. panta 2. punkta “e” apakšpunktā minētajām institūcijām  projekta īstenošanas laikā un visā šo noteikumu 26.1.12. apakšpunktā noteiktajā dokumentu glabāšanas termiņā ir pieejami visi ar projekta īstenošanu saistītie dokumentu oriģināli un grāmatvedības sistēmas dati. Dokumentu un datu pieejamību nodrošina vadības informācijas sistēmā, pie finansējuma saņēmēja vai sadarbības partnera. Ja dokumenti un dati ir pieejami tikai pie finansējuma saņēmēja vai sadarbības partnera, nodrošina to iesniegšanu  institūcijai, kas atbilstoši normatīvajos aktos par Eiropas Savienības Atveseļošanas fonda plāna īstenošanas un uzraudzības kārtību noteiktajai kompetencei to pieprasa, kā arī nepieciešamības gadījumā nodrošina informācijas pieejamību Latvijas Republikas un Eiropas Komisijas finansēšanas nolīgumā par Atveseļošanas un noturības mehānismu minētajām iestādēm;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25.1.11. nodrošina, ka normatīvajos aktos par Eiropas Savienības Atveseļošanas un noturības mehānisma fonda plāna īstenošanas un uzraudzības kārtību un Eiropas Parlamenta un Padomes 2021. gada 12. februāra Regulas (ES) 2021/241, ar ko izveido Atveseļošanas un noturības mehānismu, 22. panta 2. punkta “e” apakšpunktā minētajām institūcijām  projekta īstenošanas laikā un visā šo noteikumu 25.1.12. apakšpunktā noteiktajā dokumentu glabāšanas termiņā ir pieejami visi ar projekta īstenošanu saistītie dokumentu oriģināli un grāmatvedības sistēmas dati. Dokumentu un datu pieejamību nodrošina vadības informācijas sistēmā vai pie finansējuma saņēmēja. Ja dokumenti un dati ir pieejami tikai pie finansējuma saņēmēja, nodrošina to iesniegšanu institūcijai, kas atbilstoši normatīvajos aktos par Eiropas Savienības Atveseļošanas un noturības mehānisma plāna īstenošanas un uzraudzības kārtību noteiktajai kompetencei to pieprasa;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25.1.11. punktā minēto, lūdzu skaidrot kāda būs rīcība, ja dokumenti saistībā ar projekta īstenošanu būs pieejami tikai pie sadarbības partnera. Vai plānots, ka sadarbības partneris visus dokumentus nodos finansējuma saņēmējam uzglabāšanai vai iesniegts tos Kohēzijas politikas fondu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26.1.11. apakšpunkta (iepriekš 25.1.11. apakšpunkts) papildināto redakciju skatīt izziņas 25.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sadarbības partnerim  Izglītības kvalitātes valsts dienestam (turpmāk – IKVD) ir pienākums atbilstoši noteikumu projekta 26.1.12. apakšpunktam (iepriekš 25.1.12. apakšpunkts) nodrošināt ar projekta īstenošanu saistītās dokumentācijas uzglabāšanu līdz 2031.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partneris IKVD dokumentu oriģinālus uzglabā atbilstoši tā lietu sarakstiem.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uzglabāšanas, nodrošināšanas iesniegšanai finansējuma saņēmējam un  uzraugošajām institūcijām nosacījumi atrunāti vienošanās, kura tiks slēgta starp NVA un IKVD.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26.1.11. nodrošina, ka normatīvajos aktos par Eiropas Savienības Atveseļošanas fonda plāna īstenošanas un uzraudzības kārtību un regulas Nr. 2021/241 22. panta 2. punkta “e” apakšpunktā minētajām institūcijām  projekta īstenošanas laikā un visā šo noteikumu 26.1.12. apakšpunktā noteiktajā dokumentu glabāšanas termiņā ir pieejami visi ar projekta īstenošanu saistītie dokumentu oriģināli un grāmatvedības sistēmas dati. Dokumentu un datu pieejamību nodrošina vadības informācijas sistēmā, pie finansējuma saņēmēja vai sadarbības partnera. Ja dokumenti un dati ir pieejami tikai pie finansējuma saņēmēja vai sadarbības partnera, nodrošina to iesniegšanu  institūcijai, kas atbilstoši normatīvajos aktos par Eiropas Savienības Atveseļošanas fonda plāna īstenošanas un uzraudzības kārtību noteiktajai kompetencei to pieprasa, kā arī nepieciešamības gadījumā nodrošina informācijas pieejamību Latvijas Republikas un Eiropas Komisijas finansēšanas nolīgumā par Atveseļošanas un noturības mehānismu minētajām iestādēm;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ja aģentūra noraida projekta, plānoto progresa pārskatu iesniegšanas grafika vai plānoto iepirkumu plāna grozījumu priekšlikumu, tā norāda atteikuma pamatojumu un, ja nepieciešams, informāciju par veicamajiem precizējumiem un tā atkārtotas iesniegšanas kārtību un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atbalsta piešķiršanas atteikuma apstrīdēšanas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27.3. apakšpunktā (iepriekš 26.3. apakšpunktā) nav noteikta atbalsta piešķiršanas kārtība. Minētajā apakšpunktā norādītajiem dokumentiem –  plānoto  progresa pārskatu iesniegšanas grafikam vai plānoto iepirkumu plāna grozījumu priekšlikumam – nav apstrīdēšanas kārtība. Saņemot šos dokumentus, CFLA tos pieņem 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CFLA noraida projekta grozījumu priekšlikumu, tad tā, atbilstoši noteikumu projekta 27.3. apakšpunktā (iepriekš 26.3. apakšpunktā) noteiktajam, norāda atteikuma pamatojumu un, ja nepieciešams, informāciju par veicamajiem precizējumiem un tā atkārtotas iesniegšanas kārtību un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ja aģentūra noraida projekta plānoto progresa pārskatu iesniegšanas grafika vai plānoto iepirkumu plāna grozījumu priekšlikumu, tā norāda atteikuma pamatojumu un, ja nepieciešams, informāciju par veicamajiem precizējumiem un tā atkārtotas iesniegšanas kārtību un termiņiem;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 izskatot  grozījumus projektā, aģentūrai ir tiesības konsultēties ar ministriju par šajos noteikumos ietverto nosacījumu piemērošanu. Ministrija uz aģentūras konsultācijas pieprasījumu atbildi sniedz 10 darbdienu laikā, attiecīgi par šo termiņu tiek pagarināts šo noteikumu 26.2. apakšpunktā noteiktais projektu grozījumu priekšlikuma izskatīšanas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šāds regulējums un šādā detalizācijas pakāpē ir jāiekļauj noteikumu projektā. Vēršam uzmanību, ka noteikumu projekta 26.punkts kopumā regulē iestāžu sadarbības jautājumus, un visas projekta veidlapas apstiprināšanā un grozīšanā iesaistītās personas, tai skaitā projekta iesniedzējs (finansējuma saņēmējs) un sadarbības partneris, ir valsts pārvaldes iestādes, kam jau ir pienākums sadarboties Valsts pārvaldes iekārtas likuma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arī citas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 NVA viedokļa ir jābūt saprotamam projektu grozījumu virzības procesam. Ņemot vērā, ka gadījumā, ja CFLA konsultēsies ar LM, pagarināsies projektu grozījumu izskatīšanas termiņš, uzskatām, ka NVA kā finansējuma saņēmējam ir svarīgi zināt, ka projekta grozījumu veikšanai ir nepieciešams ilgāks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Starpresoru vienošanās starp CFLA un LM tiks atrunāti detālāki konsultēšanās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Izvērtētas arī citas noteikumu projektu normas, detalizētāku skaidrojumu skatīt izziņas 20.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Nodrošinot šo noteikumu 27. punktā noteikto projekta īstenošanas uzraudzību, normatīvajos aktos par Eiropas Savienības Atveseļošanas un noturības mehānisma plāna īstenošanas un uzraudzības kārtību noteiktās institūcijas atbilstoši kompetencei veic vismaz šādas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28. punkta redakciju, precizējot institūciju, kurai tiks uzlikts attiecīgais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29. punktā (iepriekš 28. punkta) ir atsauce uz noteikumu projekta 28. punktu (iepriekš 27. punktu), kurā ir norādīts, ka uzraudzību veic CFLA.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Nepārprotamības nodrošināšanai precizēta noteikumu projekta 29. punkta (iepriekš 28. punkta) redakcija, papildinot ar institūciju, kura veic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Aģentūra sadarbībā ar citām institūcijām atbilstoši šo noteikumu 28. punktā minētajam, nodrošinot projekta īstenošanas uzraudzību, veic vismaz šādas pārbaudes: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Projektu īsteno līdz 2026. gada 30. septembrim.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33.punktu, jo atbilstoši Finanšu ministrijas izstrādātajām  "Vadlīnijas informatīvā ziņojuma vai Ministru kabineta noteikumu izstrādei par Eiropas Savienības Atveseļošanas un noturības mehānisma plāna reformas vai investīcijas ieviešanu", AF investīciju projekti ir jāīsteno un rādītāji ir jāsasniedz, pievienojot to sasniegšanu pamatojošo dokumentāciju, vēlākais </w:t>
            </w:r>
            <w:r w:rsidR="00000000" w:rsidRPr="00000000" w:rsidDel="00000000">
              <w:rPr>
                <w:b w:val="1"/>
                <w:rtl w:val="0"/>
              </w:rPr>
              <w:t xml:space="preserve">līdz 2026.gada 30.jūnijam</w:t>
            </w:r>
            <w:r w:rsidR="00000000" w:rsidRPr="00000000" w:rsidDel="00000000">
              <w:rPr>
                <w:rtl w:val="0"/>
              </w:rPr>
              <w:t xml:space="preserve">, lai līgumslēdzējs, nozares ministrija varētu veikt visas nepieciešamās pārbaudes, noslēguma maksājumus un sagatavot nepieciešamo informāciju pārvaldības deklarācijas un audita kopsavilkuma sagatavošanai saskaņā ar Eiropas Savienības Atveseļošanas un noturības mehānisma un nacionālā ekonomikas un atveseļošanas un noturības plāna īstenošanas uzraudzības kārtību.[1]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noteikumu projekta 6.1.4.apakšpunktā noteikto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MK 2021.gada 7.septembra noteikumi Nr. 621 “Eiropas Savienības Atveseļošanas un noturības mehānisma plāna īstenošanas un uzraudzības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34. apakšpunkta (iepriekš 33. apakšpunkta) redakcija precizēta, norādot, ka projektu īsteno līdz 2026. gada 30. jūnijam, lai varētu veikt rīcības AF plāna izpildes uzraudzības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Projektu īsteno līdz 2026. gada 30. jūnijam.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 finanšu atbalstu nepiešķir, ja saimnieciskās darbības veicējam ar tiesas spriedumu ir pasludināts maksātnespējas process, ar tiesas spriedumu tiek īstenots tiesiskās aizsardzības process, ir uzsākta bankrota procedūra, piemērota sanācija vai mierizlīgums, tā saimnieciskā darbība ir izbeigta vai tas atbilst normatīvajos aktos maksātnespējas jomā noteiktajiem kritērijiem, lai tam pēc kreditoru pieprasījuma piemērotu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esošais Maksātnespējas likums kopš 2010.gada neparedz sanācijas procesu, aicinām precizēt noteikumu projekta 35.3.apakšpunktu, piemēram, nosakot, ka </w:t>
            </w:r>
            <w:r w:rsidR="00000000" w:rsidRPr="00000000" w:rsidDel="00000000">
              <w:rPr>
                <w:i w:val="1"/>
                <w:rtl w:val="0"/>
              </w:rPr>
              <w:t xml:space="preserve">nav pasludināts saimnieciskās darbības veicēja maksātnespējas process, nav ierosināta tiesiskās aizsardzības procesa lieta vai netiek īstenots tiesiskās aizsardzības process, apturēta vai pārtraukta </w:t>
            </w:r>
            <w:r w:rsidR="00000000" w:rsidRPr="00000000" w:rsidDel="00000000">
              <w:rPr>
                <w:i w:val="1"/>
                <w:rtl w:val="0"/>
              </w:rPr>
              <w:t xml:space="preserve">saimnieciskā darbība vai saimnieciskās darbības veicējs</w:t>
            </w:r>
            <w:r w:rsidR="00000000" w:rsidRPr="00000000" w:rsidDel="00000000">
              <w:rPr>
                <w:rtl w:val="0"/>
              </w:rPr>
              <w:t xml:space="preserve"> ​</w:t>
            </w:r>
            <w:r w:rsidR="00000000" w:rsidRPr="00000000" w:rsidDel="00000000">
              <w:rPr>
                <w:i w:val="1"/>
                <w:rtl w:val="0"/>
              </w:rPr>
              <w:t xml:space="preserve">netiek likvidēts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36.3. apakšpunkts (iepriekš 35.3. apakšpunkts), ievērojot, ka Maksātnespējas likums neparedz sanācijas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finanšu atbalstu nepiešķir, ja saimnieciskās darbības veicējam ar tiesas spriedumu ir pasludināts saimnieciskās darbības veicēja maksātnespējas process, ir ierosināta tiesiskās aizsardzības procesa lieta vai tiek īstenots tiesiskās aizsardzības process, ir apturēta vai pārtraukta saimnieciskā darbība vai saimnieciskās darbības veicējs ​tiek likvidēts;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w:t>
            </w:r>
            <w:r w:rsidR="00000000" w:rsidRPr="00000000" w:rsidDel="00000000">
              <w:rPr>
                <w:i w:val="1"/>
                <w:rtl w:val="0"/>
              </w:rPr>
              <w:t xml:space="preserve">De minimis</w:t>
            </w:r>
            <w:r w:rsidR="00000000" w:rsidRPr="00000000" w:rsidDel="00000000">
              <w:rPr>
                <w:rtl w:val="0"/>
              </w:rPr>
              <w:t xml:space="preserve"> atbalsta piešķiršanas brīdi nosaka atbilstoši normatīvajiem aktiem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2013. gada 18. decembra Regulas (ES) Nr. 1407/2013 par Līguma par Eiropas Savienības darbību 107. un 108. panta piemērošanu de minimis atbalstam (turpmāk - Komisijas regula Nr.1407/2013) 3.panta 4.punkts nosaka, ka de minimis atbalstu uzskata par piešķirtu brīdī, kad uzņēmumam saskaņā ar piemērojamo valsts tiesisko regulējumu ir piešķirtas likumīgās tiesības saņemt atbalstu, neatkarīgi no datuma, kurā de minimis atbalsts uzņēmumam izmaksāts, lūdzam precīzi norādīt, kurš brīdis tiks uzskatīts par juridiski saistošu, kad atbalsta saņēmējam radīsies likumīgas tiesības saņemt  de minimis atbalstu šo MK noteikumu ietvaros (piem., lēmums par atbalsta piešķiršanu vai līguma parakstīšanas datums).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noteikumi, uz kuriem minēta atsauce 39.punktā neparedz nekādas norādes par to, kurš brīdis tiek uzskatīts par de minimis piešķiršanas brīdi 3.1.2.5.i. investīcijas ietvaros. Atbilstoši iebildumam, lūdzam precizēt MK noteikumu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40. punkts (iepriekš 39. punkts), nosakot de minimis atbalsta piešķiršanas brīdi, t.i., dienu, kad atbalsta saņēmējam rodas likumīgas tiesības saņemt  de minimis atbalstu šī noteikumu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MK noteikumu Nr. 75 6.</w:t>
            </w:r>
            <w:r w:rsidR="00000000" w:rsidRPr="00000000" w:rsidDel="00000000">
              <w:rPr>
                <w:vertAlign w:val="superscript"/>
                <w:rtl w:val="0"/>
              </w:rPr>
              <w:t xml:space="preserve">2 </w:t>
            </w:r>
            <w:r w:rsidR="00000000" w:rsidRPr="00000000" w:rsidDel="00000000">
              <w:rPr>
                <w:rtl w:val="0"/>
              </w:rPr>
              <w:t xml:space="preserve">nodaļā “Ar valsts atbalsta saņemšanu saistītie nosacījumi” minētajiem nosacījumiem un NVA izstrādātajām  metodikām lēmuma pieņemšanai par atbalsta piešķiršanu (pieejamas šeit - https://www.nva.gov.lv/lv/valsts-atbalsts), atbalsta pretendenta atbilstība de minimis nosacījumiem vērtējama atbalsta piešķiršanas brīdī (līguma vai vienošanās slēgšanas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w:t>
            </w:r>
            <w:r w:rsidR="00000000" w:rsidRPr="00000000" w:rsidDel="00000000">
              <w:rPr>
                <w:i w:val="1"/>
                <w:rtl w:val="0"/>
              </w:rPr>
              <w:t xml:space="preserve">De minimis </w:t>
            </w:r>
            <w:r w:rsidR="00000000" w:rsidRPr="00000000" w:rsidDel="00000000">
              <w:rPr>
                <w:rtl w:val="0"/>
              </w:rPr>
              <w:t xml:space="preserve">atbalsta piešķiršanas brīdis ir šo noteikumu 15.8 un 15.9 apakšpunktā minēto atbalstāmo darbību īstenošanai noslēgtā līguma ar saimnieciskās darbības veicēju spēkā stāšanās diena.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investīcija ir turpinājums 2014.-2020.gada plānošanas perioda īstenotajam projektam, Centrālā finanšu un līgumu aģentūra (turpmāk- CLFA) piekrīt veikt projekta pilna cikla uzraudzību (izņemot atbilstoši MK noteikumiem Nr.621 AF investīcijās divpakāpju projektos CFLA neuzraudzīs komercdarbības atbalsta nosacījumus gala saņēmēju līmenī), tomēr nebūtu korekti norādīt, ka CFLA tas neradīs papildu administratīvo slogu. Lūdzam precizēt šo informāciju anotācijā, norādot, ka CFLA šī papildus funkcija prasīs indikatīvi 0.35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apakšsadaļā “Risinājuma apraksts” investīcijas īstenošanas un uzraudzības nosacījumu aprakstā ietvertā informācija, norādot, ka pilna cikla uzraudzību veiks CFLA (izņemot komercdarbības atbalsta nosacījumu uzraudzību gala saņēmēju līmenī, to veiks NVA). Investīcijas uzraudzība atbilstoši CFLA sniegtajai informācijai indikatīvi rada vajadzību 0,35 papildu personāla slodzēm uzraudzības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apakšsadaļas "</w:t>
            </w:r>
            <w:r w:rsidR="00000000" w:rsidRPr="00000000" w:rsidDel="00000000">
              <w:rPr>
                <w:i w:val="1"/>
                <w:rtl w:val="0"/>
              </w:rPr>
              <w:t xml:space="preserve">Investīcijas ietvaros ir plānotas šādas atbalstāmās darbības un to indikatīvās attiecināmās AF izmaksas:</w:t>
            </w:r>
            <w:r w:rsidR="00000000" w:rsidRPr="00000000" w:rsidDel="00000000">
              <w:rPr>
                <w:rtl w:val="0"/>
              </w:rPr>
              <w:t xml:space="preserve">" 16. punktā precizēt atsauci uz FM vadlīniju “</w:t>
            </w:r>
            <w:r w:rsidR="00000000" w:rsidRPr="00000000" w:rsidDel="00000000">
              <w:rPr>
                <w:i w:val="1"/>
                <w:rtl w:val="0"/>
              </w:rPr>
              <w:t xml:space="preserve">Vadlīnijas par vienkāršoto izmaksu izmantošanas iespējām un to piemērošana Eiropas Savienības kohēzijas politikas programmas 2021. – 2027.gadam ietvaros</w:t>
            </w:r>
            <w:r w:rsidR="00000000" w:rsidRPr="00000000" w:rsidDel="00000000">
              <w:rPr>
                <w:rtl w:val="0"/>
              </w:rPr>
              <w:t xml:space="preserve">” apakšpunktu - no 21.7. uz 27.1.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apakšsadaļas “Risinājuma apraksts” daļā, kurā  aprakstītas investīcijas ietvaros plānotās atbalstāmās darbības un to indikatīvās attiecināmās AF izmaksas, 16. punktā precizēta atsauce uz FM vadlīniju</w:t>
            </w:r>
            <w:r w:rsidR="00000000" w:rsidRPr="00000000" w:rsidDel="00000000">
              <w:rPr>
                <w:i w:val="1"/>
                <w:rtl w:val="0"/>
              </w:rPr>
              <w:t xml:space="preserve"> “Vadlīnijas par vienkāršoto izmaksu izmantošanas iespējām un to piemērošana Eiropas Savienības kohēzijas politikas programmas 2021. – 2027.gadam ietvaros”</w:t>
            </w:r>
            <w:r w:rsidR="00000000" w:rsidRPr="00000000" w:rsidDel="00000000">
              <w:rPr>
                <w:rtl w:val="0"/>
              </w:rPr>
              <w:t xml:space="preserve"> apakšpunktu, mainot no 21.7. uz 27.1.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1.3.sadaļā un anotācijas 3.sadaļas 6.2.apakšpunktā norādīto finansējuma apmēru projekta vadības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anotācijas 1.3. sadaļā un anotācijas 3. sadaļas 6.2. apakšpunktā norādītais finansējuma apmērs projekta vadības izmaksām ir salāgots, tas veido  4 826 791 </w:t>
            </w:r>
            <w:r w:rsidR="00000000" w:rsidRPr="00000000" w:rsidDel="00000000">
              <w:rPr>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finansējums veidojas no sadaļā divu norādīto izmaksu summas – plānotais finansējums  indikatīvi veido 4 471 963 </w:t>
            </w:r>
            <w:r w:rsidR="00000000" w:rsidRPr="00000000" w:rsidDel="00000000">
              <w:rPr>
                <w:i w:val="1"/>
                <w:rtl w:val="0"/>
              </w:rPr>
              <w:t xml:space="preserve">euro</w:t>
            </w:r>
            <w:r w:rsidR="00000000" w:rsidRPr="00000000" w:rsidDel="00000000">
              <w:rPr>
                <w:rtl w:val="0"/>
              </w:rPr>
              <w:t xml:space="preserve"> atlīdzībām un  354 828</w:t>
            </w:r>
            <w:r w:rsidR="00000000" w:rsidRPr="00000000" w:rsidDel="00000000">
              <w:rPr>
                <w:i w:val="1"/>
                <w:rtl w:val="0"/>
              </w:rPr>
              <w:t xml:space="preserve"> euro</w:t>
            </w:r>
            <w:r w:rsidR="00000000" w:rsidRPr="00000000" w:rsidDel="00000000">
              <w:rPr>
                <w:rtl w:val="0"/>
              </w:rPr>
              <w:t xml:space="preserve"> personāla darba vietu iekārtošanai un komandējumiem.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Nepārprotamībai precizēts apraksts anotācijā, norādot kopsummu.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punkta “Risinājuma apraksts” 16.apakšpunktu, norādot nepieciešamo finansējumu projekta vadības un īstenošanas nodrošināšanai sadalījumā starp investīcijas finansējuma saņēmēju (Nodarbinātības valsts aģentūra) un sadarbības partneri (Izglītības kvalitātes valsts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apakšsadaļas “Risinājuma apraksts” 16. apakšpunkts, norādot indikatīvo plānoto finansējumu projekta vadības un īstenošanas nodrošināšanai sadalījumā starp NVA un IKVD.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1.3.sadaļu, ņemot vērā, ka punktā “Risinājuma apraksts” norādīto atbalstāmo darbību kopējais finansējums matemātiski veidojas 28 355 172 </w:t>
            </w:r>
            <w:r w:rsidR="00000000" w:rsidRPr="00000000" w:rsidDel="00000000">
              <w:rPr>
                <w:i w:val="1"/>
                <w:rtl w:val="0"/>
              </w:rPr>
              <w:t xml:space="preserve">euro</w:t>
            </w:r>
            <w:r w:rsidR="00000000" w:rsidRPr="00000000" w:rsidDel="00000000">
              <w:rPr>
                <w:rtl w:val="0"/>
              </w:rPr>
              <w:t xml:space="preserve">, savukārt noteikumu projekta 13.punkts paredz attiecināmo Atveseļošanas fonda finansējumu 28 710 000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investīcijas atbalstāmo darbību kopējais finansējums matemātiski veidojas no šādām anotācijā norādītajām indikatīvajām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420 000 </w:t>
            </w:r>
            <w:r w:rsidR="00000000" w:rsidRPr="00000000" w:rsidDel="00000000">
              <w:rPr>
                <w:i w:val="1"/>
                <w:rtl w:val="0"/>
              </w:rPr>
              <w:t xml:space="preserve">euro </w:t>
            </w:r>
            <w:r w:rsidR="00000000" w:rsidRPr="00000000" w:rsidDel="00000000">
              <w:rPr>
                <w:rtl w:val="0"/>
              </w:rPr>
              <w:t xml:space="preserve"> (konkurētspējas paaugstināšana) + 126 028 </w:t>
            </w:r>
            <w:r w:rsidR="00000000" w:rsidRPr="00000000" w:rsidDel="00000000">
              <w:rPr>
                <w:i w:val="1"/>
                <w:rtl w:val="0"/>
              </w:rPr>
              <w:t xml:space="preserve">euro</w:t>
            </w:r>
            <w:r w:rsidR="00000000" w:rsidRPr="00000000" w:rsidDel="00000000">
              <w:rPr>
                <w:rtl w:val="0"/>
              </w:rPr>
              <w:t xml:space="preserve"> (jaunu konkurētspējas paaugstināšanas pasākumu moduļu izstrāde) +  4 167 256 </w:t>
            </w:r>
            <w:r w:rsidR="00000000" w:rsidRPr="00000000" w:rsidDel="00000000">
              <w:rPr>
                <w:i w:val="1"/>
                <w:rtl w:val="0"/>
              </w:rPr>
              <w:t xml:space="preserve">euro</w:t>
            </w:r>
            <w:r w:rsidR="00000000" w:rsidRPr="00000000" w:rsidDel="00000000">
              <w:rPr>
                <w:rtl w:val="0"/>
              </w:rPr>
              <w:t xml:space="preserve"> (profesionālā izglītība) + 8 086 240 </w:t>
            </w:r>
            <w:r w:rsidR="00000000" w:rsidRPr="00000000" w:rsidDel="00000000">
              <w:rPr>
                <w:i w:val="1"/>
                <w:rtl w:val="0"/>
              </w:rPr>
              <w:t xml:space="preserve">euro</w:t>
            </w:r>
            <w:r w:rsidR="00000000" w:rsidRPr="00000000" w:rsidDel="00000000">
              <w:rPr>
                <w:rtl w:val="0"/>
              </w:rPr>
              <w:t xml:space="preserve"> (neformālās izglītības programmas) + 7 207 668 </w:t>
            </w:r>
            <w:r w:rsidR="00000000" w:rsidRPr="00000000" w:rsidDel="00000000">
              <w:rPr>
                <w:i w:val="1"/>
                <w:rtl w:val="0"/>
              </w:rPr>
              <w:t xml:space="preserve">euro</w:t>
            </w:r>
            <w:r w:rsidR="00000000" w:rsidRPr="00000000" w:rsidDel="00000000">
              <w:rPr>
                <w:rtl w:val="0"/>
              </w:rPr>
              <w:t xml:space="preserve"> (transportlīdzekļu programmas) + 100 000 </w:t>
            </w:r>
            <w:r w:rsidR="00000000" w:rsidRPr="00000000" w:rsidDel="00000000">
              <w:rPr>
                <w:i w:val="1"/>
                <w:rtl w:val="0"/>
              </w:rPr>
              <w:t xml:space="preserve">euro </w:t>
            </w:r>
            <w:r w:rsidR="00000000" w:rsidRPr="00000000" w:rsidDel="00000000">
              <w:rPr>
                <w:rtl w:val="0"/>
              </w:rPr>
              <w:t xml:space="preserve">(studiju moduļi) + 300 000 </w:t>
            </w:r>
            <w:r w:rsidR="00000000" w:rsidRPr="00000000" w:rsidDel="00000000">
              <w:rPr>
                <w:i w:val="1"/>
                <w:rtl w:val="0"/>
              </w:rPr>
              <w:t xml:space="preserve">euro</w:t>
            </w:r>
            <w:r w:rsidR="00000000" w:rsidRPr="00000000" w:rsidDel="00000000">
              <w:rPr>
                <w:rtl w:val="0"/>
              </w:rPr>
              <w:t xml:space="preserve"> (tiešsaites kursi) + 159 360 </w:t>
            </w:r>
            <w:r w:rsidR="00000000" w:rsidRPr="00000000" w:rsidDel="00000000">
              <w:rPr>
                <w:i w:val="1"/>
                <w:rtl w:val="0"/>
              </w:rPr>
              <w:t xml:space="preserve">euro </w:t>
            </w:r>
            <w:r w:rsidR="00000000" w:rsidRPr="00000000" w:rsidDel="00000000">
              <w:rPr>
                <w:rtl w:val="0"/>
              </w:rPr>
              <w:t xml:space="preserve">(Bezdarbnieku uzskaites un reģistrēto vakanču informācijas sistēmas (turpmāk – BURVIS) pielāgošanas izmaksas) + 1 200 706 </w:t>
            </w:r>
            <w:r w:rsidR="00000000" w:rsidRPr="00000000" w:rsidDel="00000000">
              <w:rPr>
                <w:i w:val="1"/>
                <w:rtl w:val="0"/>
              </w:rPr>
              <w:t xml:space="preserve">euro</w:t>
            </w:r>
            <w:r w:rsidR="00000000" w:rsidRPr="00000000" w:rsidDel="00000000">
              <w:rPr>
                <w:rtl w:val="0"/>
              </w:rPr>
              <w:t xml:space="preserve"> (praktiskās mācības darba vietā) + 13 343 </w:t>
            </w:r>
            <w:r w:rsidR="00000000" w:rsidRPr="00000000" w:rsidDel="00000000">
              <w:rPr>
                <w:i w:val="1"/>
                <w:rtl w:val="0"/>
              </w:rPr>
              <w:t xml:space="preserve">euro</w:t>
            </w:r>
            <w:r w:rsidR="00000000" w:rsidRPr="00000000" w:rsidDel="00000000">
              <w:rPr>
                <w:rtl w:val="0"/>
              </w:rPr>
              <w:t xml:space="preserve"> (atbalsts mācību laikā) + 114 064 </w:t>
            </w:r>
            <w:r w:rsidR="00000000" w:rsidRPr="00000000" w:rsidDel="00000000">
              <w:rPr>
                <w:i w:val="1"/>
                <w:rtl w:val="0"/>
              </w:rPr>
              <w:t xml:space="preserve">euro</w:t>
            </w:r>
            <w:r w:rsidR="00000000" w:rsidRPr="00000000" w:rsidDel="00000000">
              <w:rPr>
                <w:rtl w:val="0"/>
              </w:rPr>
              <w:t xml:space="preserve"> (reģionālā mobilitāte) + 53 120 </w:t>
            </w:r>
            <w:r w:rsidR="00000000" w:rsidRPr="00000000" w:rsidDel="00000000">
              <w:rPr>
                <w:i w:val="1"/>
                <w:rtl w:val="0"/>
              </w:rPr>
              <w:t xml:space="preserve">euro</w:t>
            </w:r>
            <w:r w:rsidR="00000000" w:rsidRPr="00000000" w:rsidDel="00000000">
              <w:rPr>
                <w:rtl w:val="0"/>
              </w:rPr>
              <w:t xml:space="preserve"> (digitālais rīks) + 57 200 </w:t>
            </w:r>
            <w:r w:rsidR="00000000" w:rsidRPr="00000000" w:rsidDel="00000000">
              <w:rPr>
                <w:i w:val="1"/>
                <w:rtl w:val="0"/>
              </w:rPr>
              <w:t xml:space="preserve">euro</w:t>
            </w:r>
            <w:r w:rsidR="00000000" w:rsidRPr="00000000" w:rsidDel="00000000">
              <w:rPr>
                <w:rtl w:val="0"/>
              </w:rPr>
              <w:t xml:space="preserve"> (publicitāte) + 4 471 963 </w:t>
            </w:r>
            <w:r w:rsidR="00000000" w:rsidRPr="00000000" w:rsidDel="00000000">
              <w:rPr>
                <w:i w:val="1"/>
                <w:rtl w:val="0"/>
              </w:rPr>
              <w:t xml:space="preserve">euro</w:t>
            </w:r>
            <w:r w:rsidR="00000000" w:rsidRPr="00000000" w:rsidDel="00000000">
              <w:rPr>
                <w:rtl w:val="0"/>
              </w:rPr>
              <w:t xml:space="preserve"> (projekta vadība un īstenošana) + 354 828 </w:t>
            </w:r>
            <w:r w:rsidR="00000000" w:rsidRPr="00000000" w:rsidDel="00000000">
              <w:rPr>
                <w:i w:val="1"/>
                <w:rtl w:val="0"/>
              </w:rPr>
              <w:t xml:space="preserve">euro</w:t>
            </w:r>
            <w:r w:rsidR="00000000" w:rsidRPr="00000000" w:rsidDel="00000000">
              <w:rPr>
                <w:rtl w:val="0"/>
              </w:rPr>
              <w:t xml:space="preserve"> (darba vietu iekārtošana un komandējumi) + 1 878 224 </w:t>
            </w:r>
            <w:r w:rsidR="00000000" w:rsidRPr="00000000" w:rsidDel="00000000">
              <w:rPr>
                <w:i w:val="1"/>
                <w:rtl w:val="0"/>
              </w:rPr>
              <w:t xml:space="preserve">euro</w:t>
            </w:r>
            <w:r w:rsidR="00000000" w:rsidRPr="00000000" w:rsidDel="00000000">
              <w:rPr>
                <w:rtl w:val="0"/>
              </w:rPr>
              <w:t xml:space="preserve"> (izmaksas kas nav tieši saistītas ar projekta rezultātu sasniegšanu, bet atbalsta un nodrošina atbilstošus apstākļus projekta darbību īstenošanai un projekta rezultātu sasniegšanai, NVA un IKVD projektā plāno kā vienu izmaksu pozīciju, piemērojot vienoto likmi septiņu procentu apmērā no TA projekta 15. punktā minētajām izmaksām) = 28 710 000 </w:t>
            </w:r>
            <w:r w:rsidR="00000000" w:rsidRPr="00000000" w:rsidDel="00000000">
              <w:rPr>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apkašsadaļas "I</w:t>
            </w:r>
            <w:r w:rsidR="00000000" w:rsidRPr="00000000" w:rsidDel="00000000">
              <w:rPr>
                <w:i w:val="1"/>
                <w:rtl w:val="0"/>
              </w:rPr>
              <w:t xml:space="preserve">nvestīcijas ietvaros ir plānotas šādas atbalstāmās darbības un to indikatīvās attiecināmās AF izmaksas</w:t>
            </w:r>
            <w:r w:rsidR="00000000" w:rsidRPr="00000000" w:rsidDel="00000000">
              <w:rPr>
                <w:rtl w:val="0"/>
              </w:rPr>
              <w:t xml:space="preserve">:" 2. un 7. punktu papildināt ar informāciju, vai nerodas dubultās finansēšanas risks minētajām elastīgu mācību formas  integrešanas izmaksām BURVIS, kā arī BURVIS pielāgošanas izmaksām, piemērojot LM vienas vienības izmaksu standarta likmes aprēķina un piemērošanas metodiku apmācību programmu apguves un stipendijas izmaksām, ņemot vērā, ka šādas izmaksas ir paredzētas arī SAM 7.1.1.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apakšsadaļā “Risinājuma apraksts” ietvertā informācija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ietvaros plānotajām atbalstāmām darbībām un to indikatīvajām attiecināmām AF izmaksām, skaidrojot, ka nerodas dubultās finansēšanas risks ar darbības programmas “Izaugsme un nodarbinātība” 7.1.1. specifisko atbalsta mērķi “Paaugstināt bezdarbnieku kvalifikāciju un prasmes atbilstoši darba tirgus pieprasījumam” (turpmāk – 7.1.1. SAM) un 14.1.2. specifiskā atbalsta mērķi “Atveseļošanas pasākumi labklājības jomā” (turpmāk – 14.1.2. SAM), jo konkurētspējas paaugstināšanas pasākumu moduļu izstrādi un BURVIS pielāgošanu (veicot jaunus pielāgojumus), piemērojot LM mācību izmaksu metodiku, plānots veikt 2024. – 2025.gadā (pēc 7.1.1. SAM un 14.1.2. SAM noslēguma).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nedublētu publiskus resursus digitālo rīku prasmju novērtēšanai izveidei, lūdzam paredzēt rīka savietojamības iespējas ar AF 2.3.1.4.i. investīcijas “Individuālo mācību kontu pieejas attīstība” ietvaros plānoto Prasmju pārvaldības platformu, nodrošinot rīka pieejamību visiem pieaugušajiem, tostarp tiem nodarbinātajiem, kuri nav Nodarbinātības valsts aģentūras klienti, attiecīgi attīstot rīka arhitektūru un funkcionalitāti.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attiecīgi papildināt anotācijas sadaļas “Risinājumu apraksts” apakšsadaļas “2. līdz 2023.gada 31.decembrim – digitālā rīka izstrāde prasmju novērtēšanai” aprakstu. Vienlaikus lūdzam aprakstā paredzēt arī rīka mērķauditorijas paplašināšanu uz visiem pieaugušajiem, tostarp nodarbinātajiem pieaugušajiem, kas nav NVA klienti (lūdzam skat. arī Izglītības un zinātnes ministrijas iebildumu par Ministru kabineta noteikumu projekta 7.2.1.apakšpunktu).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6. un 10.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punktu “Cita informācija”, norādot, ka pēc projekta apstiprināšanas nepieciešamo finansējumu 2023.gadam LM normatīvajos aktos noteiktajā kārtībā lūgs pārdalīt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savukārt par nepieciešamo finansējumu 2024. – 2026.gadam LM sniegs priekšlikumu LM pamatbudžeta bāzes 2024. – 2026. gadam sagatavošanas un izskatīšanas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anotācijas 3. sadaļas “Tiesību akta projekta ietekme uz valsts budžetu un pašvaldību budžetiem”  punktā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33.punkts paredz, ka projektu īsteno līdz 2026.gada 30.septembrim, savukārt anotācijas 3.sadaļā norādīta noteikumu projekta ietekme uz valsts budžetu tikai līdz 2025.gadam, līdz ar to nepieciešams precizēt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sadaļā “Tiesību akta projekta ietekme uz valsts budžetu un pašvaldību budžetiem” ietvertā informācija, tai skaitā papildinot ar norādi par nepieciešamo finansējuma apjomu 2026.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(turpmāk - MK) protokollēmuma projektu ar jaunu punktu. Skat.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MK 22.03.2022. sēdes protokolu Nr.17 34.§ “Informatīvais ziņojums “Par Kohēzijas politikas Eiropas Savienības fondu investīciju aktualitātēm līdz 2022.gada 1.februārim (pusgada ziņojums)””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3.1.2.5.i investīcijas īstenošanai nepieciešamo pievienotās vērtības nodokli (izmaksas nav attiecināmas finansēšanai no Atveseļošanas fonda finansējuma) indikatīvi .... euro apmērā segšanu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projekts papildināts ar jaunu punktu, kurš paredz pievienotās vērtība nodokļa (turpmāk – PVN)  1 443 584 </w:t>
            </w:r>
            <w:r w:rsidR="00000000" w:rsidRPr="00000000" w:rsidDel="00000000">
              <w:rPr>
                <w:i w:val="1"/>
                <w:rtl w:val="0"/>
              </w:rPr>
              <w:t xml:space="preserve">euro </w:t>
            </w:r>
            <w:r w:rsidR="00000000" w:rsidRPr="00000000" w:rsidDel="00000000">
              <w:rPr>
                <w:rtl w:val="0"/>
              </w:rPr>
              <w:t xml:space="preserve">segšanu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(turpmāk - MK rullis) 55.punktam atbildīgā ministrija, virzot projektu saskaņošanai, nosaka atzinuma sniegšanas termiņu vispārējā kārtībā – no 10 darbdienām, steidzamības kārtībā – līdz trim darbdienām.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vēršam uzmanību, ka nav saskatāms pamats šo noteikumu projektu (22-TA-3562) virzīt saskaņošanai steidzamības kārtībā. Kaut gan 2021.gada 7.septembra Ministru kabineta sēdes protokola Nr.60 32.§ 5.punktā </w:t>
            </w:r>
            <w:r w:rsidR="00000000" w:rsidRPr="00000000" w:rsidDel="00000000">
              <w:rPr>
                <w:u w:val="single"/>
                <w:rtl w:val="0"/>
              </w:rPr>
              <w:t xml:space="preserve">pieņemts zināšanai</w:t>
            </w:r>
            <w:r w:rsidR="00000000" w:rsidRPr="00000000" w:rsidDel="00000000">
              <w:rPr>
                <w:rtl w:val="0"/>
              </w:rPr>
              <w:t xml:space="preserve">, ka ar Atveseļošanas fonda plāna īstenošanu saistītie normatīvo aktu projekti, kā arī informatīvie ziņojumi izskatīšanai MK tiek virzīti steidzamības kārtībā, tomēr minētais neuzliek ministrijām par pienākumu visus dokumentus virzīt kā steidzamus, ja tas objektīvi nav nepieciešams, kā arī nekādā veidā neizslēdz atbildīgo ministriju pienākumu vērtēt un pamatot steidzamību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turpmāk, nosakot atzinuma sniegšanas termiņu, ievērot MK ruļļa 55.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sagaidīt Eiropas Komisijas neoficiālu viedokli par izstrādāto noteikumu projektu un anotāciju. Informējam, ka tulkojums angļu valodā Eiropas Komisijai ticis elektroniski nosūtīts š.g. 14.februārī.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Ātrāka noteikumu projekta saskaņošanas procesa nodrošināšanai, turpināta noteikumu projekta saskaņošana Tiesību aktu portālā, nesagaidot neoficiālu Eiropas Komisijas viedokli. Paredzēts, ka noteikumu projekts netiks iesniegts izskatīšanai Ministru kabineta sēdē pirms Eiropas Komisijas viedokļa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 īsteno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aprakstīt 3.1.2.5.i. investīcijas sasaisti un ietekmi uz īstenojamo reformu atbilstoši AF plānā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apakšsadaļas “Risinājuma apraksts” investīcijas vispārīgo jautājumu aprakstā, norādot, ka investīcijas atbalstāmo darbību īstenošana veicinās minimālo ienākumu atbalsta reformas mērķu sasniegšanu, piedāvājot mazāk aizsargātai mērķa grupai (bezdarbnieki un darba meklētāji) ar ierobežotu ienākumu līmeni atbalstu iegūto prasmju un kvalifikācijas  uzlabošanā, veicinot gan šo cilvēku atgriešanos darba tirgū, gan kopumā paplašinot nodarbinātības veicināšanas un bezdarba mazināšanas pakalpojumu pieejamību Latvijas republikas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 īsteno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2023. gada 30. jūnijam  – lai veicinātu tādu ekonomikas atveseļošanu, kurā tiktu radīts daudz jaunu darbavietu, finansējuma saņēmēja klientiem (bezdarbniekiem, darba meklētājiem, bezdarba riskam pakļautām personām), īstenojot aktīvās darba tirgus politikas pasākumus, ir izveidots pārkvalificēšanās un prasmju pilnveides piedāvājums, kurā galvenā uzmanība pievērsta digitālajām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6.1.1.apakšpunktu pirms skaitļiem un vārdiem "2023. gada 30. jūnijam" liekot vārdu "līdz". Vienlaikus vēršam uzmanību, ka atskaites punkta nosaukumam pilnībā ir jāsakrīt ar Padomes īstenošanas lēmumam par Latvijas atveseļošanas un noturības plāna novērtējuma apstiprināšanu (turpmāk – CID*)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*https://www.esfondi.lv/upload/anm/darbibas_kartiba_lv.pdf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atskaites punkts (127) "</w:t>
            </w:r>
            <w:r w:rsidR="00000000" w:rsidRPr="00000000" w:rsidDel="00000000">
              <w:rPr>
                <w:b w:val="1"/>
                <w:rtl w:val="0"/>
              </w:rPr>
              <w:t xml:space="preserve">Lai veicinātu tādu ekonomikas atveseļošanu, kurā tiktu radīts daudz jaunu darbavietu, Nodarbinātības valsts aģentūras klientiem (bezdarbniekiem, darba meklētājiem, bezdarba riskam pakļautām personām), īstenojot aktīvas darba tirgus politikas pasākumus, ir izveidots pārkvalificēšanās un prasmju pilnveides piedāvājums, kurā galvenā uzmanība pievērsta digitālajām prasmēm</w:t>
            </w:r>
            <w:r w:rsidR="00000000" w:rsidRPr="00000000" w:rsidDel="00000000">
              <w:rPr>
                <w:rtl w:val="0"/>
              </w:rPr>
              <w:t xml:space="preserve">​​​​​​"  līdz 2023. gada 30. jūnijam - jauna pārkvalificēšanās un prasmju (tostarp digitālo prasmju) pilnveides piedāvājuma pieņemšana Nodarbinātības valsts aģentūras klientiem.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6.1.1. apakšpunkts papildināts ar vārdu “līdz”, tādējādi nodrošinot atbilstību MK 2022. gada 1. februāra noteikumos Nr. 90 “Par Atveseļošanas fonda plāna Darbības kārtību, par kuru vienojas Eiropas Komisija un Latvija”  (turpmāk – Darbības kārtība)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līdz 2023. gada 30. jūnijam  – lai veicinātu tādu ekonomikas atveseļošanu, kurā tiktu radīts daudz jaunu darbavietu, Nodarbinātības valsts aģentūras klientiem (bezdarbniekiem, darba meklētājiem, bezdarba riskam pakļautām personām), īstenojot aktīvās darba tirgus politikas pasākumus, ir izveidots pārkvalificēšanās un prasmju pilnveides piedāvājums, kurā galvenā uzmanība pievērsta digitālajām prasmēm;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līdz 2023. gada 31. decembrim – digitālā rīka (turpmāk – rīks) izstrāde prasmju novērtēšanai;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6.1.2.apakšpunktu. Aicinām skatīt piedāvāto redakciju. Vienlaikus vēršam uzmanību, ka atskaites punkta nosaukumam pilnībā (1:1) ir jāsakrīt ar Padomes īstenošanas lēmumam par Latvijas atveseļošanas un noturības plāna novērtējuma apstiprināšanu (turpmāk – CID*) norādīto. Tādēļ pamatojuma informāciju par </w:t>
            </w:r>
            <w:r w:rsidR="00000000" w:rsidRPr="00000000" w:rsidDel="00000000">
              <w:rPr>
                <w:b w:val="1"/>
                <w:rtl w:val="0"/>
              </w:rPr>
              <w:t xml:space="preserve">viena digitālā rīku </w:t>
            </w:r>
            <w:r w:rsidR="00000000" w:rsidRPr="00000000" w:rsidDel="00000000">
              <w:rPr>
                <w:rtl w:val="0"/>
              </w:rPr>
              <w:t xml:space="preserve">(turpmāk – rīks) izstrāde prasmju novērtēšanai aicinām ietvert noteikumu projekta anotācijā, par piemēru ņemot skaidrojumu no AF plāna/ CID grozījumu izziņas.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atskaites punkts (128) </w:t>
            </w:r>
            <w:r w:rsidR="00000000" w:rsidRPr="00000000" w:rsidDel="00000000">
              <w:rPr>
                <w:b w:val="1"/>
                <w:rtl w:val="0"/>
              </w:rPr>
              <w:t xml:space="preserve">"Digitālo rīku izstrāde prasmju novērtēšanai"</w:t>
            </w:r>
            <w:r w:rsidR="00000000" w:rsidRPr="00000000" w:rsidDel="00000000">
              <w:rPr>
                <w:rtl w:val="0"/>
              </w:rPr>
              <w:t xml:space="preserve"> līdz 2023. gada 31. decembrim izstrādāti un ieviesti digitālie rīki.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6.1.2. apakšpunkts, lai nodrošinātu atbilstību Darbības kārtībā noteiktajam. Atbilstoši termins “digitālais rīks” noteikumu projekta visā tekstā norādīts daudzskaitlī.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papildināta informācija par atskaites punktu, skaidrojot, ka tiks izstrādāts viens digitāls rīks, kurš ietvers vairākus testus.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līdz 2023. gada 31. decembrim – digitālo rīku izstrāde prasmju novērtēšanai;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6.1.3. līdz 2025. gada 31. martam – 10 000 bezdarbnieki, darba meklētāji, bezdarba riskam pakļautie iedzīvotāji ar uzlabotām prasmēm;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6.1.3.apakšpunktu. Skat.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Padomes īstenošanas lēmumam par Latvijas atveseļošanas un noturības plāna novērtējuma apstiprināšanu (turpmāk – CID) ir noteikti atskaites punkti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Operational Arrangements angļu valodā šeit:  https://commission.europa.eu/system/files/2022-03/countersigned-lv-rrf-oa_and_annexes.pdf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latviešu valodā šeit: https://www.esfondi.lv/upload/anm/darbibas_kartiba_lv.pdf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rādītājs (129) "Bezdarbnieki, darba meklētāji, bezdarba riskam pakļautās personas ar pilnveidotām prasmēm"" – 10 000 līdz 2025. gada 31.martam.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6.2.1. apakšpunkts (iepriekš 6.1.3. apakšpunkts), lai nodrošinātu atbilstību Darbības kārtībā noteiktajiem atskaites punktiem un mērķiem.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kopējie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noteikuma projekta 6.3. un 7.punkta apakšpunktus, ņemot vērā, ka atbilstoši EK vadlīnijām par kopējo rādītāju ziņošanu, rādītājs būs</w:t>
            </w:r>
            <w:r w:rsidR="00000000" w:rsidRPr="00000000" w:rsidDel="00000000">
              <w:rPr>
                <w:b w:val="1"/>
                <w:rtl w:val="0"/>
              </w:rPr>
              <w:t xml:space="preserve"> jāziņo pa vecuma grupām un dzimumiem</w:t>
            </w:r>
            <w:r w:rsidR="00000000" w:rsidRPr="00000000" w:rsidDel="00000000">
              <w:rPr>
                <w:rtl w:val="0"/>
              </w:rPr>
              <w:t xml:space="preserve">, kā arī jānorāda, kuras no </w:t>
            </w:r>
            <w:r w:rsidR="00000000" w:rsidRPr="00000000" w:rsidDel="00000000">
              <w:rPr>
                <w:b w:val="1"/>
                <w:rtl w:val="0"/>
              </w:rPr>
              <w:t xml:space="preserve">personām ir piedalījušās digitālo prasmju pilnveidē</w:t>
            </w:r>
            <w:r w:rsidR="00000000" w:rsidRPr="00000000" w:rsidDel="00000000">
              <w:rPr>
                <w:rtl w:val="0"/>
              </w:rPr>
              <w:t xml:space="preserve"> (</w:t>
            </w:r>
            <w:r w:rsidR="00000000" w:rsidRPr="00000000" w:rsidDel="00000000">
              <w:rPr>
                <w:i w:val="1"/>
                <w:rtl w:val="0"/>
              </w:rPr>
              <w:t xml:space="preserve">Participants in digital skills training)</w:t>
            </w:r>
            <w:r w:rsidR="00000000" w:rsidRPr="00000000" w:rsidDel="00000000">
              <w:rPr>
                <w:rtl w:val="0"/>
              </w:rPr>
              <w:t xml:space="preserve">, lūdzam papildināt noteikuma projekta punktu ar normu par šo dalījumu, lai nodrošinātu finansējuma saņēmējam viennozīmīgu izpratnei par uzkrājamajiem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nepieciešamības gadījumā precizēt nosacījumus par unikālo personu ziņošanu atbilstoši EK vadlīnijām par kopējiem radītājiem, ņemot vērā, ka EK vadlīnijas pie šī kopējā rādītāja attiecībā uz unikālo personu ziņošanu ir norādīts, ka gadījumā ir dalībnieks piedalās atsevišķās apmācībās, tad katrā no tām ziņojams kā unikāls (</w:t>
            </w:r>
            <w:r w:rsidR="00000000" w:rsidRPr="00000000" w:rsidDel="00000000">
              <w:rPr>
                <w:i w:val="1"/>
                <w:rtl w:val="0"/>
              </w:rPr>
              <w:t xml:space="preserve">Participation shall be counted per education or training activity, even if it lasts several years. Additionally, a participant to two different education or training activities)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7.4. apakšpunkts un anotācijas apakšsadaļā “Risinājuma apraksts” papildināta informācija par to, ka  kopējā rādītāja (izglītības vai apmācību dalībnieku skaits) izpildes progresa atspoguļošanai NVA uzkrās informāciju par atbalstu saņēmušajām personām, norādot personas dzimumu un vecuma grupu, kā arī informāciju par personām, kuras piedalījušās digitālo prasmju pilnveidē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kopējie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6.punkta ievaddaļas uz 6.3.apakšpunkta izriet, ka "investīcijas īstenošanā </w:t>
            </w:r>
            <w:r w:rsidR="00000000" w:rsidRPr="00000000" w:rsidDel="00000000">
              <w:rPr>
                <w:u w:val="single"/>
                <w:rtl w:val="0"/>
              </w:rPr>
              <w:t xml:space="preserve">sasniedzamie </w:t>
            </w:r>
            <w:r w:rsidR="00000000" w:rsidRPr="00000000" w:rsidDel="00000000">
              <w:rPr>
                <w:rtl w:val="0"/>
              </w:rPr>
              <w:t xml:space="preserve">kopējie </w:t>
            </w:r>
            <w:r w:rsidR="00000000" w:rsidRPr="00000000" w:rsidDel="00000000">
              <w:rPr>
                <w:u w:val="single"/>
                <w:rtl w:val="0"/>
              </w:rPr>
              <w:t xml:space="preserve">rādītāji</w:t>
            </w:r>
            <w:r w:rsidR="00000000" w:rsidRPr="00000000" w:rsidDel="00000000">
              <w:rPr>
                <w:rtl w:val="0"/>
              </w:rPr>
              <w:t xml:space="preserve">" ir "personu skaits". Vēršam uzmanību, ka 6.3.apakšpunktā nav norādīti nekādi skaitliski vai saturiski </w:t>
            </w:r>
            <w:r w:rsidR="00000000" w:rsidRPr="00000000" w:rsidDel="00000000">
              <w:rPr>
                <w:u w:val="single"/>
                <w:rtl w:val="0"/>
              </w:rPr>
              <w:t xml:space="preserve">rezultāti</w:t>
            </w:r>
            <w:r w:rsidR="00000000" w:rsidRPr="00000000" w:rsidDel="00000000">
              <w:rPr>
                <w:rtl w:val="0"/>
              </w:rPr>
              <w:t xml:space="preserve">, ko būtu iespējams </w:t>
            </w:r>
            <w:r w:rsidR="00000000" w:rsidRPr="00000000" w:rsidDel="00000000">
              <w:rPr>
                <w:u w:val="single"/>
                <w:rtl w:val="0"/>
              </w:rPr>
              <w:t xml:space="preserve">sasniegt.</w:t>
            </w:r>
            <w:r w:rsidR="00000000" w:rsidRPr="00000000" w:rsidDel="00000000">
              <w:rPr>
                <w:rtl w:val="0"/>
              </w:rPr>
              <w:t xml:space="preserve">  Ievērojot minēto, aicinām precizēt 6.punktu (6.3.apakšpunktu), piemēram, paredzot, ka investīcijas efektivitāti novērtē pēc šādiem rādītājiem (iesaistīto personu skaita),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arī noteikumu projekta 7.4. – 7.6.apakšpunktu.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 par iesaistīto skaitu tiks uzkrāta investīcijas projekta īstenošanas gaitā, t.i., to sasniegšanai nav iepriekš noteiktas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7.4. apakšpunkts, papildinot arī anotācijas apsakšsadaļā “Risinājuma apraksts” ietverto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kopējie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priekšlikumu precizēt noteikumu projekta 6.4.apakšpunktu, jo no noteikumu projekta 6.punkta ievaddaļas un 6.4.apakšpunkta izriet, ka investīcijas īstenošanā sasniedzamie "kopējie rādītāji" ir "personu skaits". Vēršam uzmanību, ka 6.3.apakšpunktā nav norādīti nekādi skaitliski vai saturiski rezultāti, ko būtu iespējams sasniegt.  Ievērojot minēto, aicinām precizēt 6.punktu (6.4.apakšpunktu), piemēram, paredzot, ka </w:t>
            </w:r>
            <w:r w:rsidR="00000000" w:rsidRPr="00000000" w:rsidDel="00000000">
              <w:rPr>
                <w:i w:val="1"/>
                <w:rtl w:val="0"/>
              </w:rPr>
              <w:t xml:space="preserve">investīcijas efektivitāti novērtē pēc šādiem rādītājiem</w:t>
            </w:r>
            <w:r w:rsidR="00000000" w:rsidRPr="00000000" w:rsidDel="00000000">
              <w:rPr>
                <w:rtl w:val="0"/>
              </w:rPr>
              <w:t xml:space="preserve"> (iesaistīto personu skaita),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arī noteikumu projekta 7.4. – 7.6.apakšpunktu.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 par iesaistīto personu skaitu sadalījumā pa kopējiem rādītājiem tiks uzkrāta investīcijas projekta īstenošanas gaitā, t.i., to sasniegšanai nav iepriekš noteiktas sasniedzamās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definīcijas kopējiem rādītājiem ir izrietošas no Eiropas Komisijas vadlīnijām  “Guidance on the common indicators of the Recovery and Resilience Facility” (turpmāk – EK vadlīnijas), to terminoloģija nav redakcionāli precizējama.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saskaņā ar EK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kopējā rādītājā “personu skaits, kuri ir nodarbināti vai iesaistīti darba meklēšanā” investīcijas ietvaros ir paredzēts uzkrāt datus par bezdarbniekiem vai neaktīvām personām (neuzkrājot informāciju par bezdarba riskam pakļautām personām), kuras ir saņēmušas atbalstu saskaņā ar pasākumiem un, kuras pēc atbalsta saņemšanas ir iesaistījušās darba meklēšanas darbībās/nodarbinātībā – attiecīgi atbalstāmo darbību uzskaitījumā ir minētas tās programmas, kas ir pieejamas attiecīgai mērķa grupai.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Bezdarbniekiem, kuriem ir pieejams plašs spektrs izglītības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kopējā rādītājā “personu skaits vecumā no 15 līdz 29 gadiem, kuri saņem atbalstu” investīcijas ietvaros ir plānots uzkrāt informāciju par visām investīcijas ietvaros atbalstu saņēmušajām mērķa grupas personām, kas uz iesaistes brīdi atbalsta pasākumos ir bijušas vecumā no 15 līdz 29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kopējie rādītāji: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Atskaites punktu, uzraudzības rādītāja un kopējo rādītāju sasniegšanu apliecina Kohēzijas politikas fondu vadības informācijas sistēmā (turpmāk – vadības informācijas sistēma) finansējuma saņēmēja iesniegts šāds dokumentu un informācijas kopums: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noteikumu projekta 7.punkta apakšpunktos minētais, kad atskaites punkts/ mērķis ir uzskatāms par sasniegtu (kā pārbaudes mehānisms), precīzi atbilst tam, kas minēts CID.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8.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Atskaites punktu, mērķrādītāju, uzraudzības rādītāja un kopējo rādītāju sasniegšanu apliecina Kohēzijas politikas fondu vadības informācijas sistēmā (turpmāk – vadības informācijas sistēma) finansējuma saņēmēja iesniegts šāds dokumentu un informācijas kopums: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 sagatavots anonimizēts dalībnieku, kuriem tika veikta profilēšana (izdruka no BURVIS), saraksts;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7.2.4. un 7.3.1. apakšpunktā norādīt konkrētas mērķa grupas, par kurām tiks sagatavots anonimizēts saraksts par veikto profilēšanu, ņemot vērā, ka MK noteikumu projektā nav atrunāts saīsinājums "dalībnieki" (piem., kā norādīts MK noteikumu projekta 7.3.2.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7.2.4. un 7.3.1. apakšpunkts, norādot, ka  anonimizētajā sarakstā tiks ietverta informācija par mērķa grupas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Nepārprotamības nodrošināšanai precizētajos punktos vārds profilēšana aizstāts ar norādi, ka veikta prasmju novērtēšana, izmantojot digitālo rīku. Precizējums veikts, jo profilēšana, atbilstoši Bezdarbnieku un darba meklētāju atbalsta likumā noteiktajam, tiek veikta tikai bezdarbniekiem, savukārt investīcijas ietvaros prasmju novērtēšana, izmantojot projekta ietvaros izstrādāto digitālo rīku, tiks veikta visām investīcijas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precizējumi veikti arī anotācijas apakšsadaļā “Risinājuma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veikts redakcionāls precizējums noteikumu projekta 7.5. apakšpunktā, precizējot atsauci, t.i., atsauce uz 14.5. apakšpunktu aizstāta ar atsauci uz 15.8.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 sagatavots anonimizēts mērķa grupas personu, kurām tika veikta prasmju novērtēšana, izmantojot digitālo rīku, saraksts (izdruka no BURVIS);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finansējuma saņēmējs ir Nodarbinātības valsts aģentūra (turpmāk – finansējuma saņēmējs, līdz projekta veidlapas apstiprināšanai – projekta iesniedzējs), kas saskaņā ar Bezdarbnieku un darba meklētāju atbalsta likumu īsteno valsts politiku bezdarba samazināšanas un bezdarbnieku, darba meklētāju un bezdarba riskam pakļauto personu atbalsta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notiekumu projekta 9.punktā norādīts konkrēts finansējuma saņēmējs, lūdzam izvērtēt un nepieciešamības gadījumā svītrot vārdus "kas saskaņā ar Bezdarbnieku un darba meklētāju atbalsta likumu īsteno valsts politiku bezdarba samazināšanas un bezdarbnieku, darba meklētāju un bezdarba riskam pakļauto personu atbalsta jomā". Minētā atsauce uz likumu ir lieka, jo nav nevienas citas Nodarbinātības valsts aģentūras, proti, tādas, kuras pienākumos nebūtu īstenot minēto valsts politiku.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notiekumu projekta 10.punktu.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priekšlikums nav ņemts vērā, jo noteikumu projekta 9. un 10. punktā minētais apraksts pamato investīcijas finansējuma saņēmēja (NVA) un sadarbības partnera (IKVD)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finansējuma saņēmējs ir Nodarbinātības valsts aģentūra (turpmāk – finansējuma saņēmējs, līdz projekta veidlapas apstiprināšanai – projekta iesniedzējs), kas saskaņā ar Bezdarbnieku un darba meklētāju atbalsta likumu īsteno valsts politiku bezdarba samazināšanas un bezdarbnieku, darba meklētāju un bezdarba riskam pakļauto personu atbalsta 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Investīcijas atbalsta veids ir grants.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nosaka/norāda uz projektu iesniegumu atlases veidu. Vēršam uzmanību, ka Atveseļošanas un noturības mehānisma ietvaros tiek lietots termins “ierobežots pretendentu loks”. Attiecīgus precizējumus lūdzam veikt arī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investīcijas ietvaros atlase netiek īstenota. Tiks nodrošināta projekta veidlapas atbilstības noteikumu projekta nosacījumiem, tai skaitā  projekta veidlapā pieprasītajai informācijai, pārbaude, kā arī veikta pārbaude, lai pārliecinātos, ka uz projekta iesniedzēju (NVA) un sadarbības partneri (IKVD) nav attiecināmi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noteiktie izslēgšanas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izstrādes vadlīniju 39. punktā definētais paredz, ka noteikumu projektā jānorāda, ka investīcija tiks īstenota iepriekš zināmam pretendentu lokam. Ir tikai viens jau iepriekš zināms investīcijas finansējuma saņēmēja pretendents, tāpēc nav nepieciešams īstenot atlasi.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Investīcijas atbalsta veids ir grants.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īstenošanai kopējais pieejamais finansējums ir 30 153 584 </w:t>
            </w:r>
            <w:r w:rsidR="00000000" w:rsidRPr="00000000" w:rsidDel="00000000">
              <w:rPr>
                <w:i w:val="1"/>
                <w:rtl w:val="0"/>
              </w:rPr>
              <w:t xml:space="preserve">euro</w:t>
            </w:r>
            <w:r w:rsidR="00000000" w:rsidRPr="00000000" w:rsidDel="00000000">
              <w:rPr>
                <w:rtl w:val="0"/>
              </w:rPr>
              <w:t xml:space="preserve">, tai skaitā attiecināmais Atveseļošanas fonda finansējums ir 28 710 000 </w:t>
            </w:r>
            <w:r w:rsidR="00000000" w:rsidRPr="00000000" w:rsidDel="00000000">
              <w:rPr>
                <w:i w:val="1"/>
                <w:rtl w:val="0"/>
              </w:rPr>
              <w:t xml:space="preserve">euro</w:t>
            </w:r>
            <w:r w:rsidR="00000000" w:rsidRPr="00000000" w:rsidDel="00000000">
              <w:rPr>
                <w:rtl w:val="0"/>
              </w:rPr>
              <w:t xml:space="preserve"> un valsts budžeta finansējums (pievienotās vērtības nodoklis) – indikatīvi 1 443 584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noteikuma projekta 13.punktā minētos finansējuma avotus divos (2) atsevišķos noteikuma projekta punktos (finansējuma avotu pārskatāmības nolūkos). T.i. viens par AF finansējumu; otrs par pievienotās vērtības nodokli (turpmāk -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vienošanās/rīkojumā atrunāt, kurš uzraudzīs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PVN attiecināmība no valsts budžeta ir atrunāta iekšējā LM rīkojumā, tad tur arī jāparedz PVN uzraudzības funkcija kā līgumslēdzējam, tā FS: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pirms finansējuma saņemšanas pievienotās vērtības nodokļa izmaksu apmērā, iesniedzot projekta maksājuma pieprasījumu, sniedz apliecinājumu, ka minētās summas nav atgūtas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atsevišķu projekta izmaksu, t.sk. pievienotās vērtības nodokļa izmaksu uzskaiti un nodalīšanu, kā arī tam ir pienākums atgriezt pārmaksāto pievienotās vērtības nodokļa daļu, ja sākotnēji plānotais pievienotās vērtības nodokļa apjoms būs lielāks, nekā faktiski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Līgumslēdzējs pēc finansējuma saņēmēja maksājumu pieprasījumu saņemšanas pārbauda, vai tam pievienots apliecinājums, ka finansējuma saņēmējs nav atguvis pievienotās vērtības nodokli no valsts budžeta priekšnodokļa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izmaksas nav attiecināmas finansēšanai no Atveseļošanas fonda finansējuma, bet šādas izmaksas ir iekļaujamas Atveseļošanas fonda finansētā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izdalot noteikuma projekta 13. punktā minētos finansējuma avotus divos atsevišķos noteikuma projekta punktos (finansējuma avotu pārskatāmības nolūkos).  Noteikumu projekta 13. punktā ietverts AF finansējums un noteikumu projekta 14. punktā ietverts PVN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30.3. apakšpunktu, nosakot CFLA  PVN uzraudzības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arī skaidrojumu izziņas 57.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īstenošanai pieejamais Atveseļošanas fonda finansējums ir 28 710 000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konsultācijas mērķa grupas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14.1. apakšpunktu pirms vārda "konsultācijas" papildināt ar vārdu "karjeras", atbilstoši anotācijā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15.1. apakšpunkts (iepriekš 14.1.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karjeras konsultācijas mērķa grupas personām;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iekšzemes komandējumu un darba braucienu izmaksas. Iekšzemes komandējumu un darba braucienu izmaksām piemēro Finanšu ministrijas izstrādātās metodikas par vienas vienības izmaksu standarta likmes aprēķinu un piemērošanu 1 km izmaksām un iekšzemes komandējumu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atbilstoši Ministru kabineta 2009. gada 3. februāra noteikumu Nr. 108 "Normatīvo aktu projektu sagatavošanas noteikumi" 136. punktā noteiktajam noteikumu projektā neietver atsau­ces uz zemāka juridiskā spēka normatīvo aktu.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ņem vērā noteikumu projekta anotācijā minēto, ka šāda veida regulējums par vienas vienības izmaksu standarta likmes aprēķinu metodiku ietverts spēkā esošajos M</w:t>
            </w:r>
            <w:r w:rsidR="00000000" w:rsidRPr="00000000" w:rsidDel="00000000">
              <w:rPr>
                <w:i w:val="1"/>
                <w:rtl w:val="0"/>
              </w:rPr>
              <w:t xml:space="preserve">inistru kabineta 2014. gada 23. decembra noteikumos Nr. 836 "Darbības programmas "Izaugsme un nodarbinātība" 7.1.1. specifiskā atbalsta mērķa "Paaugstināt bezdarbnieku kvalifikāciju un prasmes atbilstoši darba tirgus pieprasījumam" un 14.1.2. specifiskā atbalsta mērķa "Atveseļošanas pasākumi labklājības jomā" īstenošanas noteikumi"</w:t>
            </w:r>
            <w:r w:rsidR="00000000" w:rsidRPr="00000000" w:rsidDel="00000000">
              <w:rPr>
                <w:rtl w:val="0"/>
              </w:rPr>
              <w:t xml:space="preserve">, kas regulē līdzīga satura atbalsta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vēršam uzmanību, ka šāda veida metodikas vai citi dokumenti, kas nav ārēji normatīvie akti, ir saistoši tikai pašam šādu iekšējo normatīvo aktu izdevējam un tā padotībā esošajām institūcijām. Līdz ar to atkārtoti aicinām šajā noteikumu projekta apakšpunktā, kā arī citās noteikumu projekta normās, piemēram, noteikumu projekta 16.2.1. apakšpunktā svītrot minētās atsaces un atbilstošus noteikumus par attiecīgo attiecināmo izdevumu apsrēķināšanas metodiku ietvert līgumos ar atbalsta saņēmējiem.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līdzšinējai praksei ES fondu specifisko atbalsta mērķu un pasākumu regulējuma noteikšanā, kā arī, lai salāgotu Tieslietu ministrijas un Finanšu ministrijas (norāda, ka atsaucēm uz vienkāršoto izmaksu metodikām ir jābūt noteikumu projektos) priekšlikumus, noteikumu projektā tiks saglabātas atsauces uz vienkāršoto izmaksu metodikām.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iekšzemes komandējumu un darba braucienu izmaksas. Iekšzemes komandējumu un darba braucienu izmaksām piemēro Finanšu ministrijas izstrādātās metodikas par vienas vienības izmaksu standarta likmes aprēķinu un piemērošanu 1 km izmaksām un iekšzemes komandējumu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16.1.4. darba vietas aprīkojuma iegādes vai nomas, tai skaitā aprīkojuma uzturēšanas un remonta izmaksas jaunu darba vietu radīšanai vai esošo darba vietu atjaunošanai, ne vairāk kā 3 000 </w:t>
            </w:r>
            <w:r w:rsidR="00000000" w:rsidRPr="00000000" w:rsidDel="00000000">
              <w:rPr>
                <w:i w:val="1"/>
                <w:rtl w:val="0"/>
              </w:rPr>
              <w:t xml:space="preserve">euro</w:t>
            </w:r>
            <w:r w:rsidR="00000000" w:rsidRPr="00000000" w:rsidDel="00000000">
              <w:rPr>
                <w:rtl w:val="0"/>
              </w:rPr>
              <w:t xml:space="preserve"> apmērā vienai darba vietai projekta īstenošanas laikā. Ja personāls ir nodarbināts normālu darba laiku, darba vietas aprīkojuma izmaksas ir attiecināmas 100 procentu apmērā. Ja personāls ir nodarbināts nepilnu darba laiku vai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16.1.4. apakšpunkta pēdējā teikuma redakciju, ņemot vērā, ka nosacījums par nodarbinātā iesaistes periodu projektā attiecas tikai uz daļlaiku.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16.1.4.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16.1.4. darba vietas aprīkojuma iegādes vai nomas, tai skaitā aprīkojuma uzturēšanas un remonta izmaksas jaunu darba vietu radīšanai vai esošo darba vietu atjaunošanai, ne vairāk kā 3 000 euro apmērā vienai darba vietai projekta īstenošanas laikā. Ja personāls ir nodarbināts normālu darba laiku, darba vietas aprīkojuma izmaksas ir attiecināmas 100 procentu apmērā. Ja personāls ir nodarbināts nepilnu darba laiku, darba vietas aprīkojuma izmaksas ir attiecināmas proporcionāli slodzes procentuālajam sadalījumam.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personāla atlīdzībai piemēro daļlaika izmaksu attiecināmības principu, darba vietas aprīkojuma izmaksas ir attiecināmas proporcionāli slodzes procentuālajam sadalījumam un nodarbinātā iesaistes periodam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apmācību izmaksas šo noteikumu 14.3.1., 14.3.2., 14.4., 14.5., 14.6. apakšpunktā minēto atbalstāmo darbību īstenošanai – apmācību kupona izmaksas, piemērojot ministrijas vienas vienības izmaksu standarta likmes aprēķina un piemērošanas metodiku apmācību programmu apguves un stipendijas izmaksām (turpmāk – mācību izmaksu metodika);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15.3.3.apakšpunktā minētās, Labklājības ministrijas izstrādātās vienības izmaksu metodikas “Vienības izmaksu standarta likmes aprēķina un piemērošanas metodika profesionālās un neformālās izglītības mācību programmas apguves un stipendijas izmaksām”* nosaukumu likt pēdiņās. Papildus lūdzam anotācijā sniegt detalizētāku informāciju par šo metodiku, kā arī norādīt, kur tā pieejama internetā, kad tiks aktualizēta utt.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*https://www.esfondi.lv/upload/Vadlinijas/lmmet_macibas_stipendija_unitcost_31082022.pdf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16.3.3. apakšpunkts (iepriekš 15.3.3. apakšpunkts), LM izstrādātās vienības izmaksu metodikas  nosaukumu liekot pēdiņās.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ietvertā informācija, aprakstot investīcijas atbalstāmās darbības un to indikatīvās izmaksas, papildināta ar skaidrojumu par metodiku mācību izmaksām un tās pieejamību internetā.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16.3.3. mācību izmaksas šo noteikumu 15.3.1., 15.3.2., 15.4., 15.5., 15.6. apakšpunktā minēto atbalstāmo darbību īstenošanai – mācību kupona izmaksas, piemērojot  mācību izmaksu metodiku;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Atveseļošanas fonda finansējuma ietvaros nav attiecināmas pievienotās vērtības nodokļa izmaksas, bet tās finansējuma saņēmējs un sadarbības partneris sedz no valsts budžeta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18.punktu. Skat. piedāvāto redakciju. Vienlaikus lūdzam precizēt arī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izmaksas nav attiecināmas finansēšanai no Atveseļošanas fonda finansējuma, bet šādas izmaksas ir iekļaujamas Atveseļošanas fonda finansētā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19. punkts (iepriekš 18. punkts). Atbilstoši precizējumi veikti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Atveseļošanas fonda finansējums nesedz pievienotās vērtības nodokļa izmaksas, bet šādas izmaksas ir iekļaujamas Atveseļošanas fonda finansētā projekta ietvaros un tās finansējuma saņēmējs un sadarbības partneris sedz no valsts budžeta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Investīcijas īstenošanas un uzraudzības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noteikumu projektā arī nosacījumus, kā tiks nodrošināta projektu iesniegumu atlase, tostarp kopā ar projektu iesniegumu iesniedzamo dokumentu saraksts.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9. punktā norādītajam, ir zināms projekta iesniedzējs – NVA.  Nav paredzēta projektu iesniegumu atlase, bet gan NVA iesniegtā projekta atbilstības pārbaude. LM projekta atbilstības pārbaudi veiks atbilstoši apstiprinātiem pārbaudes jautājumiem, kas pamatā ir saistīti ar noteikumu projektā ietverto prasību pārbaudi. Iesniedzamais dokumentu saraksts, ja tāds būs nepieciešams, tiks norādīts uzaicinājumā projekta iesniedzējam.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Investīcijas īstenošanas un uzraudzības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Lai nodrošinātu investīcijas atbalsta demarkāciju ar darbības programmas “Izaugsme un nodarbinātība” 8.4.1. specifisko atbalsta mērķi “Pilnveidot nodarbināto personu profesionālo kompetenci” un Atveseļošanas fonda 2.3.1.4.i. investīciju “Individuālo mācību kontu pieejas attīstība”, bezdarba riskam pakļautās personas iesaista šo noteikumu 15.1., 15.2., 15.4., 15.6., 15.7., 15.10. apakšpunktā minētajās atbalstāmajās darbībās.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2.3.1.4.i. investīcijas “Individuālo mācību kontu pieejas attīstība” ietvaros arī tiek paredzēts atbalsts augstākās izglītības iestādes studiju moduļu vai studiju kursu apguvei un atvērto tiešsaistes kursu platformā piedāvātu izglītības programmu apguvei (LM noteikumu projekta 15.6 un 15.7. apakšpunkts), demarkācijas nodrošināšanai, rosinām savstarpēji saskaņot plānoto mācību piedāvājumu, piem., cilvēkkapitāla pārvaldības procesu ietvaros, lai to nedublētu.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papildināt anotācijas sadaļu “Demarkācija un papildināmība ar citiem finanšu instrumentiem”, tostarp nosakot, ka tikai SAM 8.4.1. attiecas uz nodarbinātām personām. Paredzēts, ka individuālo mācību kontu varēs izveidot jebkurš pieaugušais iedzīvotājs, tostarp, lai dzīves gaitā uzkrātu informāciju par savām mācību gaitām neatkarīgi no šī brīža statusa “nodarbinātais vai ‘bezdarbnieks, kā arī gūtu informāciju par sev piemērotāko atbalstu pārkvalifikācijai vai prasmju pilnveidei.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ietvertā informācija, aprakstot demarkāciju un papildināmību ar citiem finanšu instrumentiem, papildināta ar norādi, ka uz nodarbinātām personām attiecināms tikai darbības programmas “Izaugsme un nodarbinātība” 8.4.1. specifiskais atbalsta mērķis “Pilnveidot nodarbināto personu profesionālo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arī priekšlikums, ka demarkācijas nodrošināšanai mācību piedāvājumi saskaņojami ar Izglītības un zinātnes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Lai nodrošinātu investīcijas atbalsta demarkāciju ar darbības programmas “Izaugsme un nodarbinātība” 8.4.1. specifisko atbalsta mērķi “Pilnveidot nodarbināto personu profesionālo kompetenci” un Atveseļošanas fonda 2.3.1.4.i. investīciju “Individuālo mācību kontu pieejas attīstība”, bezdarba riskam pakļautās personas iesaista šo noteikumu 15.1., 15.2., 15.4., 15.6., 15.7., 15.10. apakšpunktā minētajās atbalstāmajās darbībās.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Investīcijas īstenošanai un uzraudzībai nepieciešamās informācijas iesniegšanu nodrošina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20. punktu, norādot subjektu, kuram attiecīgais pienākums tiek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 punkts (iepriekš 20. punkts) papildināts, norādot institūcijas, kuras nodrošina informācijas iesniegšanu vadības informāciju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Investīcijas īstenošanai un uzraudzībai nepieciešamās informācijas iesniegšanu ministrija, Centrālā finanšu un līgumu aģentūra (turpmāk – aģentūra) un finansējuma saņēmējs nodrošina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10 darbdienu laikā pēc šo noteikumu spēkā stāšanās nosūta projekta iesniedzējam uzaicinājumu iesniegt projekta veidlapu, informējot Centrālo finanšu un līgumu aģentūru (turpmāk – aģentūra) par ministrijas nosūtīto uzaicinājumu un aicinot aģentūru veikt šo noteikumu 21.3. apakšpunktā minētās darbības. Uzaicinājumā projekta iesniedzējam norāda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noteikuma projekta 21.1. apakšpunktu, lai tā lietotājs un piemērotājs gūtu nepārprotamu priekšstatu par normā ietvertajiem pienākumiem un tiesībām. Piedāvājam punktu izdalīt divās daļas nodalot uzdevumu projekta iesniedzējam un Centrālajai finanšu un līgumu aģentūrai. No šī brīža redakcijas izriet, ka uzaicinājumā tiks ietverti uzdevumi arī Centrālajai finanšu un līgumu aģentūrai, lai gan pēc būtības, uzaicinājums tiek nosūtīts projekta iesniedzējam.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projekta nodaļā “III. Investīcijas īstenošanas un uzraudzības nosacījumi”, precizējot LM pienākumus attiecībā uz projekta veidlapas atbilstības pārbaudi un CFLA pienākumus attiecībā uz pilna cikla uzraudzību. Skatīt skaidrojumu arī izziņas 33.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ministrija piecu darbdienu laikā pēc šo noteikumu spēkā stāšanās nosūta projekta iesniedzējam uzaicinājumu iesniegt projekta veidlapu (turpmāk – projekta veidlapa);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10 darbdienu laikā pēc šo noteikumu spēkā stāšanās nosūta projekta iesniedzējam uzaicinājumu iesniegt projekta veidlapu, informējot Centrālo finanšu un līgumu aģentūru (turpmāk – aģentūra) par ministrijas nosūtīto uzaicinājumu un aicinot aģentūru veikt šo noteikumu 21.3. apakšpunktā minētās darbības. Uzaicinājumā projekta iesniedzējam norāda vismaz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21.1. apakšpunktu norādot, kas nosūta uzaicinājumu projekta iesniedzējam.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23.1. apakšpunkts (iepriekš 21.1. apakšpunkts), norādot, kurš nosūta uzaicinājumu projekta iesniedzējam (NVA).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arī skaidrojumu izziņas 17.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ministrija piecu darbdienu laikā pēc šo noteikumu spēkā stāšanās nosūta projekta iesniedzējam uzaicinājumu iesniegt projekta veidlapu (turpmāk – projekta veidlapa);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21.3.3. lūdz projekta iesniedzēju veikt precizējumus projekta veidlapā, nosakot precizējumu veikšanas termiņu, ja projekta veidlapa neatbilst šo noteikumu 21.3.1. apakšpunktā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informāciju, kas nosaka, cik reizes būs iespējams iesniegt precizētu projekta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investīcijas ietvaros investīcijas projekta iesniedzējs (atbilstoši noteikumu projekta 9. punktā noteiktajam) ir jau zināms – NVA. Attiecīgi nav nepieciešams noteikt papildu nosacījumus, paredzot, cik reizes iespējams iesniegt precizētu projekta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Pēc šo noteikumu pieņemšanas Ministru kabinetā ministrija normatīvajos aktos par kārtību, kādā veic gadskārtējā valsts budžeta likumā noteiktās apropriācijas izmaiņas, noteiktajā kārtībā, organizē valsts budžeta līdzekļu pieejamību projekta priekšfinansēšanai, tai skaitā pievienotās vērtības nodokļa segšanai, pieprasot finansējumu apropriācijas pārdalei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noteikumu projekta 24.punktā minēto informāciju uz protokollēmumu.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 punktā minētā informācija pilnveidota un pārcelta uz protokollēmumu.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precizēta punktu numerācija visā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Īstenojot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projekts nebūtu papildināms ar jaunu punktu par neatkarīga revidenta/ iekšējā auditora iesaisti, ņemot vērā, ka auditu kopsavilkums būs jāiesniedz pie katra maksājuma pieprasījuma. Neatkarīga revidenta/ iekšējā audita izmaksas ir attiecināmas finansēšanai no AF finansējuma, izņemot gadījumus, kad minēto funkciju veic nozares ministrijas vai Valsts kancelejas iekšējā audita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vadlīniju Nr.1 “Vadlīnijas informatīvā ziņojuma vai Ministru kabineta noteikumu izstrādei par Eiropas Savienības Atveseļošanas un noturības mehānisma plāna reformas vai investīcijas ieviešanu” 22.punktu finansējuma saņēmējam var ieplānot neatkarīga revidenta/ iekšējā auditora iesaisti, lai apliecinātu atskaites punkta un/ vai mērķa sasniegšanu un izmaksu pamatotību.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projektā pilna cikla uzraudzība ir noteikta CFLA. Attiecīgi neatkarīgs audits nav nepieciešams.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Īstenojot projektu: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 parakstījuši apliecinājumus par interešu konflikta neesamību un pienākumu ziņot par konstatētajiem vai iespējamajiem trūkumiem un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Ministru kabineta apakšpunktu aiz vārdiem </w:t>
            </w:r>
            <w:r w:rsidR="00000000" w:rsidRPr="00000000" w:rsidDel="00000000">
              <w:rPr>
                <w:i w:val="1"/>
                <w:rtl w:val="0"/>
              </w:rPr>
              <w:t xml:space="preserve">"konflikta neesamību"</w:t>
            </w:r>
            <w:r w:rsidR="00000000" w:rsidRPr="00000000" w:rsidDel="00000000">
              <w:rPr>
                <w:rtl w:val="0"/>
              </w:rPr>
              <w:t xml:space="preserve"> ar vārdiem un zīmēm </w:t>
            </w:r>
            <w:r w:rsidR="00000000" w:rsidRPr="00000000" w:rsidDel="00000000">
              <w:rPr>
                <w:i w:val="1"/>
                <w:rtl w:val="0"/>
              </w:rPr>
              <w:t xml:space="preserve">"saskaņā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 iepirkumu regulējošiem normatīviem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 parakstījuši apliecinājumus par interešu konflikta neesamību </w:t>
            </w:r>
            <w:r w:rsidR="00000000" w:rsidRPr="00000000" w:rsidDel="00000000">
              <w:rPr>
                <w:b w:val="1"/>
                <w:rtl w:val="0"/>
              </w:rPr>
              <w:t xml:space="preserve">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 iepirkumu regulējošiem normatīviem aktiem</w:t>
            </w:r>
            <w:r w:rsidR="00000000" w:rsidRPr="00000000" w:rsidDel="00000000">
              <w:rPr>
                <w:rtl w:val="0"/>
              </w:rPr>
              <w:t xml:space="preserve"> un pienākumu ziņot par konstatētajiem vai iespējamajiem trūkumiem un pārkāpumiem;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23.3. apakšpunkts, norādot regulas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arī noteikumu projekta 26. punkta apakšpunkti, t.i., precizēts 26.1.1.2. apakšpunkts, to izsakot redakcijā atbilstoši priekšlikumam,  precizēts noteikumu projekta 26.1.6., 26.1.11. un 26.2.9. apakšpunkts, nodrošinot korektu atbilstošās regulas saīsinājumu lietojumu.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redakcionāli precizējumi veikti arī noteikumu projekta 22. punktā un 23.4. apakšpunktā, nodrošinot korektu saīsinājuma 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 parakstījuši apliecinājumus par interešu konflikta neesamību saskaņā ar  Komisijas regulas Nr. 2018/1046 61. pantu un publisko iepirkumu regulējošiem normatīviem aktiem un pienākumu ziņot par konstatētajiem vai iespējamajiem trūkumiem un pārkāpumiem;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25.1.6. šo noteikumu 14.13. apakšpunktā minētos informācijas un publicitātes pasākumus nodrošina saskaņā ar Eiropas Parlamenta un Padomes 2021. gada 12. februāra Regulas (ES) 2021/241 34. pantu un Eiropas Komisijas un Latvijas Republikas Atveseļošanas un noturības mehānisma finansēšanas nolīguma 10.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25.1.6.apakšpunktā ietverto nosacījumu, ka publicitātes un informatīvos pasākumus nodrošina saskaņā ar Eiropas Parlamenta un Padomes 2021. gada 12. februāra Regulas Nr. 2021/241 34. pantu un Eiropas Komisijas un Latvijas Republikas Atveseļošanas un noturības mehānisma finansēšanas nolīguma 10.pantu, </w:t>
            </w:r>
            <w:r w:rsidR="00000000" w:rsidRPr="00000000" w:rsidDel="00000000">
              <w:rPr>
                <w:b w:val="1"/>
                <w:rtl w:val="0"/>
              </w:rPr>
              <w:t xml:space="preserve">kā arī Eiropas Savienības fondu 2021.–2027. gada plānošanas perioda un Atveseļošanas fonda komunikācijas un dizaina vadlīnijām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2023. gada 13. februāra dokumenta “Vadlīnijas informatīvā ziņojuma vai Ministru kabineta noteikumu izstrādei par Eiropas Savienības Atveseļošanas un noturības mehānisma plāna reformas vai investīcijas ieviešanu” (turpmāk – MK noteikumu izstrādes vadlīnijas) 82. punktam, noteikumu projektā nav jāatsaucas uz Eiropas Savienības fondu 2021.–2027. gada plānošanas perioda un Atveseļošanas fonda komunikācijas un dizaina vadlīnijām. Anotācijā atsauce ir ietverta.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no Tieslietu ministrijas citu normatīvo aktu virzības procesā esam saņēmuši iebildumu, ka noteikumu projektā nav pamatoti likt atsauci uz kādas iestādes izstrādātajām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26.1.6. šo noteikumu 15.13. apakšpunktā minētos publicitātes pasākumus nodrošina saskaņā ar Eiropas Parlamenta un Padomes 2021. gada 12. februāra Regulas (ES) 2021/241 (turpmāk – regula Nr. 2021/241) 34. pantu un Eiropas Komisijas un Latvijas Republikas Atveseļošanas un noturības mehānisma finansēšanas nolīguma 10. pantu;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25.1.10. ir uzskatāms par datu pārzini saskaņā ar Eiropas Parlamenta un Padomes 2016. gada 27. aprīļa Regulas (ES) Nr. 2016/679 par fizisku personu aizsardzību attiecībā uz personas datu apstrādi un šādu datu brīvu apriti un ar ko atceļ Direktīvu 95/46/EK, ievērošanu (turpmāk – regula Nr. 2016/679) attiecībā uz tādu personas datu apstrādi vadības informācijas sistēmā, kas nepieciešami, lai īstenotu projektu, kā arī sagatavotu un iesniegtu šo noteikumu 25.2.6. apakšpunktā minēto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25.1.10. apakšpunktā atbildības sadalījumu starp finansējuma saņēmēju un sadarbības partneri datu ievadē.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 un CFLA vienojas par atbildības sadalījumu datu ievadē, nepieciešamības gadījumā slēdzot starpresoru vienošanās par sadarbību datu ievadē Kohēzijas politikas fondu vadības informācijas sistēmā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26.1.10. apakšpunkts (iepriekš 25.1.10.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skaidrots, ka visu saistīto informāciju Kohēzijas politikas vadības informācijas sistēmā (turpmāk –   KP VIS) ievadīs NVA, iesniedzot progresa pārskatus. IKVD – sniegs informāciju NVA ārpus KPVIS  atbilstoši viņu sadarbības līgumā līgtajam informācijas apmaiņas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26.1.10. uzskatāms par datu pārzini saskaņā ar Eiropas Parlamenta un Padomes 2016. gada 27. aprīļa Regulas (ES) Nr. 2016/679 par fizisku personu aizsardzību attiecībā uz personas datu apstrādi un šādu datu brīvu apriti un ar ko atceļ Direktīvu 95/46/EK, ievērošanu (turpmāk – regula Nr. 2016/679) attiecībā uz tādu personas datu apstrādi, kas nepieciešami, lai īstenotu projektu, kā arī sagatavotu un iesniegtu šo noteikumu 26.2.6.  un 26.2.9. apakšpunktā minēto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25.2.4. veic avansa maksājumu ne vairāk kā 50 procentu apmērā no kupona vērtības, ja izglītības iestāde ir iesniegusi avansa 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25.2.4. apakšpunktu, norādot, kuru projekta atbalstāmo darbību ietvaros tiek veikti avansa maksājumi.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26.2.4. apakšpunktā (iepriekš 25.2.4. apakšpunkts) ir norādīts, ka avansa maksājums tiek veikts 50 % apmērā no kupona vērtības, attiecīgi, avansa maksājums iespējams tikai tajās projekta atbalstāmajās darbībās, kurām norēķinos ar izglītības iestādēm ir piemērota kuponu metode. Atbalstāmās darbības, kuru ietvaros iespējama avansu izmaksa izglītības iestādei minētas jau noteikumu projekta 16.3.3. apakšpunktā (iepriekš 15.3.3. apakšpunktā).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26.2.4. veic avansa maksājumu izglītības iestādei ne vairāk kā 50 procentu apmērā no kupona vērtības, ja izglītības iestāde ir iesniegusi avansa rēķinu;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25.2.4. veic avansa maksājumu ne vairāk kā 50 procentu apmērā no kupona vērtības, ja izglītības iestāde ir iesniegusi avansa 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25.2.4. punktu, norādot subjektu, kam avansa maksājums tiek veikts.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noteikumu projekta 26.2.4. apakšpunkts (iepriekš 25.2.4. apakšpunkts), norādot subjektu, kam tiek veikts avansa maksājums.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26.2.4. veic avansa maksājumu izglītības iestādei ne vairāk kā 50 procentu apmērā no kupona vērtības, ja izglītības iestāde ir iesniegusi avansa rēķinu;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25.2.5. nodrošina ar projekta īstenošanu saistītā finansējuma, tai skaitā privātā līdzfinansējuma (izmaksas, kuras sedz darba devējs šo noteikumu 14.8. un 14.9.  apakšpunktā minētās atbalstāmās darbības īstenošanai: bezdarbnieku darba algas daļa un valsts sociālās apdrošināšanas obligātās iemaksas par pasākumā iesaistītajiem bezdarbniekiem, izņemot šo noteikumu 15.3.6.2. apakšpunktā noteikto), uzskaiti, pēc nepieciešamības nodrošinot šīs informācijas sniegšanu kontrolējošām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aizstāt vārdus "kontrolējošām iestādēm" ar vārdiem "iestādēm, kas nodrošina Atveseļošanas fonda uzraudzību, kā arī Latvijas Republikas un Eiropas Komisijas finansēšanas nolīgumā par Atveseļošanas un noturības mehānismu minētajām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26.2.5. apakšpunkts (iepriekš 25.2.5. apakšpunkts), aizstājot vārdus “kontrolējošām iestādēm” ar vārdiem “iestādēm, kas nodrošina AF uzraudzību, kā arī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26.2.5. nodrošina ar projekta īstenošanu saistītā finansējuma, tai skaitā privātā līdzfinansējuma (izmaksas, kuras sedz darba devējs šo noteikumu 15.8. un 15.9.  apakšpunktā minētās atbalstāmās darbības īstenošanai: bezdarbnieku darba algas daļa un valsts sociālās apdrošināšanas obligātās iemaksas par pasākumā iesaistītajiem bezdarbniekiem, izņemot šo noteikumu 16.3.6.2. apakšpunktā noteikto), uzskaiti, pēc nepieciešamības nodrošinot šīs informācijas sniegšanu iestādēm, kas nodrošina Atveseļošanas fonda uzraudzību, kā arī Latvijas Republikas un Eiropas Komisijas finansēšanas nolīgumā par Atveseļošanas un noturības mehānismu minētajām iestādēm;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25.2.10. uzkrāj informāciju par atbalstu saņēmušām šo noteikumu 5. punktā minētajām mērķa grupas personām, lai nodrošinātu Eiropas Parlamenta un Padomes 2021.gada 12. februāra regula Nr. 2021/241, ar ko izveido Atveseļošanas un noturības mehānismu 22. panta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norādot, kāda informācija par atbalstu saņēmušām personām tiks uzkrāta. Papildus aicinām attiecīgo punktu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apakšsadaļas “Risinājuma apraksts” informācija papildināta ar piemēriem, kāda informācija tiks apkopota, apstrādāta un uzkrāta par atbalstu saņēmušām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ņemts vērā priekšlikums informāciju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26.2.10. šo noteikumu 15.3., 15.4., 15.5. un 15.6. apakšpunktā minētās atbalstāmās darbības finansējuma saņēmējs bezdarbniekiem un darba meklētājiem var īstenot pēc darba devēja vai darba devēju organizācijas pieprasījuma;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izskatot  grozījumus projektā, aģentūrai ir tiesības konsultēties ar ministriju par šajos noteikumos ietverto nosacījumu piemērošanu. Ministrija uz aģentūras konsultācijas pieprasījumu atbildi sniedz 10 darbdienu laikā, attiecīgi par šo termiņu tiek pagarināts projekta grozījumu priekšlikuma izskatīšanas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šāds regulējums un šādā detalizācijas pakāpē ir jāiekļauj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vērsām uzmanību sākotnējā atzinumā, noteikumu projekta 27.punkts kopumā regulē iestāžu sadarbības jautājumus, un visas projekta veidlapas apstiprināšanā un grozīšanā iesaistītās personas, tai skaitā projekta iesniedzējs (finansējuma saņēmējs) un sadarbības partneris, ir valsts pārvaldes iestādes, kam jau ir pienākums sadarboties Valsts pārvaldes iekārtas likuma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veicot priekšlikuma izvērtējumu, atbilstoši jau iepriekš skaidrotajam izziņā, priekšlikums nav ņemts vērā. Finansējuma saņēmējam  ir jābūt saprotamam projektu grozījumu virzības procesam, t.sk. jābūt informētam, ka konsultāciju ar ministriju gadījumā projekta grozījumu izskatīšanas un apstiprināšanas termiņš var pagarināties.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izskatot  grozījumus projektā, aģentūrai ir tiesības konsultēties ar ministriju par šajos noteikumos ietverto nosacījumu piemērošanu. Ministrija uz aģentūras konsultācijas pieprasījumu atbildi sniedz 10 darbdienu laikā, attiecīgi par šo termiņu tiek pagarināts projekta grozījumu priekšlikuma izskatīšanas termiņš.</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Aģentūra: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noteikumu projekts aptver visus šeit minētos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CFLA būs līgumslēdzējs, CFLA nodrošinās: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projektu iesniegumu atlases veikšanu, ja projektu iesniegumu atlase ir paredzēta/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līgumu vai vienošanās par projektu īstenošanu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izlases veidā veiks pārbaudes par interešu konflikta, krāpšanas un korupcijas, kā arī dubultfinansējuma riska novēršanas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pārbaudes projektu īstenošanas vietās (pārbaudāmo projektu izlasi veidojot atbilstoši CFLA iekšējā procedūrā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komercdarbības atbalsta nosacījumu ievērošanas pārbaudes, ja tās ir CFLA atbildībā atbilstoši MK noteikumos par AF investīcijas ieviešanu noteiktajam; (Tomēr lūdzam ņemt vērā, ka </w:t>
            </w:r>
            <w:r w:rsidR="00000000" w:rsidRPr="00000000" w:rsidDel="00000000">
              <w:rPr>
                <w:rtl w:val="0"/>
              </w:rPr>
              <w:t xml:space="preserve">atbilstoši Ministru kabineta noteikumiem Nr.621* AF investīcijās divpakāpju projektos CFLA neuzrauga komercdarbības atbalsta nosacījumus gala saņēmēju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ieviešanas progresa un sasniegto rādītāju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 ticamības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7. septembra noteikumi Nr. 621 "Eiropas Savienības Atveseļošanas un noturības mehānisma plāna īstenošanas un uzraudzības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aptver priekšlikumā norādītos jautājumus. Vienlaikus skaidrojam, ka horizontālie nosacījumi ir noteikti Ministru kabineta 2021.gada 7. septembra noteikumos Nr. 621 “Eiropas Savienības Atveseļošanas un noturības mehānisma plāna īstenošanas un uzraudzības kārtība” un MK noteikumos Nr.75.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Aģentūra: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Ar valsts atbalsta saņemšanu saistītie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precziēt nodaļas nosaukumu, aizstājot terminu "valsts atbalsts" ar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nodaļas nosaukums. Atbilstoši precizējumi veikti arī noteikumu projekta 2.10. apakšpunktā un anotācijas apakšsadaļā “Risinājuma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Ar komercdarbības atbalsta saņemšanu saistītie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pirms finanšu atbalsta piešķiršanas finansējuma saņēmējs pārbauda, vai saimnieciskās darbības veicējam minētais finanšu atbalsts nepalielina attiecīgajā fiskālajā gadā, kā arī iepriekšējos divos fiskālajos gados saņemtā </w:t>
            </w:r>
            <w:r w:rsidR="00000000" w:rsidRPr="00000000" w:rsidDel="00000000">
              <w:rPr>
                <w:i w:val="1"/>
                <w:rtl w:val="0"/>
              </w:rPr>
              <w:t xml:space="preserve">de minimis</w:t>
            </w:r>
            <w:r w:rsidR="00000000" w:rsidRPr="00000000" w:rsidDel="00000000">
              <w:rPr>
                <w:rtl w:val="0"/>
              </w:rPr>
              <w:t xml:space="preserve"> atbalsta kopējo apmēru līdz līmenim, kas pārsniedz Komisijas regulas Nr. 1407/2013 3. panta 2. punktā, Komisijas regulas Nr. 717/2014 3. panta 2. punktā (saimnieciskās darbības veicējiem, kuri darbojas zvejniecības un akvakultūras nozarē saskaņā ar Eiropas Parlamenta un Padomes regulu Nr. 1379/2013) vai Komisijas regulas Nr. 1408/2013 3. panta 3.a punktā (saimnieciskās darbības veicējiem, kuri nodarbojas ar lauksaimniecības produktu primāro ražošanu) noteikto maksimālo </w:t>
            </w:r>
            <w:r w:rsidR="00000000" w:rsidRPr="00000000" w:rsidDel="00000000">
              <w:rPr>
                <w:i w:val="1"/>
                <w:rtl w:val="0"/>
              </w:rPr>
              <w:t xml:space="preserve">de minimis</w:t>
            </w:r>
            <w:r w:rsidR="00000000" w:rsidRPr="00000000" w:rsidDel="00000000">
              <w:rPr>
                <w:rtl w:val="0"/>
              </w:rPr>
              <w:t xml:space="preserve"> atbalsta apmēru. Izvērtējot finanšu atbalsta apmēru, jāvērtē saņemtais </w:t>
            </w:r>
            <w:r w:rsidR="00000000" w:rsidRPr="00000000" w:rsidDel="00000000">
              <w:rPr>
                <w:i w:val="1"/>
                <w:rtl w:val="0"/>
              </w:rPr>
              <w:t xml:space="preserve">de minimis</w:t>
            </w:r>
            <w:r w:rsidR="00000000" w:rsidRPr="00000000" w:rsidDel="00000000">
              <w:rPr>
                <w:rtl w:val="0"/>
              </w:rPr>
              <w:t xml:space="preserve"> atbalsts viena vienota uzņēmuma līmenī. Vienots uzņēmums ir tāds uzņēmums, kas atbilst Komisijas regulas Nr. 1407/2013 2. panta 2. punktā, Komisijas regulas Nr. 1408/2013 2. panta 2. punktā vai Komisijas regulas Nr. 717/2014 2. panta 2. punktā minētajiem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35.2. punktā nekorekti ir norādīts, ka Komisijas regulas Nr. 1407/2013 2. panta 2. punktā, Komisijas regulas Nr. 1408/2013 2. panta 2. punktā vai Komisijas regulas Nr. 717/2014 2. panta 2. punktā ir iekļauts vienotā uzņēmuma skaidrojums. Minētajos normatīvajos aktos ir izskaidrots viena vienotā uzņēmuma jēdziens, līdz ar to lūdzam, precizēt Ministru kabineta noteikumu projekta 35.2. punktu, aizstājot vārdus: “Vienots uzņēmums” ar vārdiem: “Viens vienots uzņēmums”.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precizēts 36.2. apakšpunkts (iepriekš 35.2. apakšpunkts), teksta “vienots uzņēmums” vietā lietojot tekstu “viens vienots uzņēmums”.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 pirms finanšu atbalsta piešķiršanas finansējuma saņēmējs pārbauda, vai saimnieciskās darbības veicējam minētais finanšu atbalsts nepalielina attiecīgajā fiskālajā gadā, kā arī iepriekšējos divos fiskālajos gados saņemtā </w:t>
            </w:r>
            <w:r w:rsidR="00000000" w:rsidRPr="00000000" w:rsidDel="00000000">
              <w:rPr>
                <w:i w:val="1"/>
                <w:rtl w:val="0"/>
              </w:rPr>
              <w:t xml:space="preserve">de minimis</w:t>
            </w:r>
            <w:r w:rsidR="00000000" w:rsidRPr="00000000" w:rsidDel="00000000">
              <w:rPr>
                <w:rtl w:val="0"/>
              </w:rPr>
              <w:t xml:space="preserve"> atbalsta kopējo apmēru līdz līmenim, kas pārsniedz Komisijas regulas Nr. 1407/2013 3. panta 2. punktā, Komisijas regulas Nr. 717/2014 3. panta 2. punktā (saimnieciskās darbības veicējiem, kuri darbojas zvejniecības un akvakultūras nozarē saskaņā ar Eiropas Parlamenta un Padomes regulu Nr. 1379/2013) vai Komisijas regulas Nr. 1408/2013 3. panta 3.a punktā (saimnieciskās darbības veicējiem, kuri nodarbojas ar lauksaimniecības produktu primāro ražošanu) noteikto maksimālo </w:t>
            </w:r>
            <w:r w:rsidR="00000000" w:rsidRPr="00000000" w:rsidDel="00000000">
              <w:rPr>
                <w:i w:val="1"/>
                <w:rtl w:val="0"/>
              </w:rPr>
              <w:t xml:space="preserve">de minimis</w:t>
            </w:r>
            <w:r w:rsidR="00000000" w:rsidRPr="00000000" w:rsidDel="00000000">
              <w:rPr>
                <w:rtl w:val="0"/>
              </w:rPr>
              <w:t xml:space="preserve"> atbalsta apmēru. Izvērtējot finanšu atbalsta apmēru, jāvērtē saņemtais </w:t>
            </w:r>
            <w:r w:rsidR="00000000" w:rsidRPr="00000000" w:rsidDel="00000000">
              <w:rPr>
                <w:i w:val="1"/>
                <w:rtl w:val="0"/>
              </w:rPr>
              <w:t xml:space="preserve">de minimis</w:t>
            </w:r>
            <w:r w:rsidR="00000000" w:rsidRPr="00000000" w:rsidDel="00000000">
              <w:rPr>
                <w:rtl w:val="0"/>
              </w:rPr>
              <w:t xml:space="preserve"> atbalsts viena vienota uzņēmuma līmenī. Viens vienots uzņēmums ir tāds uzņēmums, kas atbilst Komisijas regulas Nr. 1407/2013 2. panta 2. punktā, Komisijas regulas Nr. 1408/2013 2. panta 2. punktā vai Komisijas regulas Nr. 717/2014 2. panta 2. punktā minētajiem kritērijiem;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Saimnieciskās darbības veicējs, kuram piemēro </w:t>
            </w:r>
            <w:r w:rsidR="00000000" w:rsidRPr="00000000" w:rsidDel="00000000">
              <w:rPr>
                <w:i w:val="1"/>
                <w:rtl w:val="0"/>
              </w:rPr>
              <w:t xml:space="preserve">de minimis</w:t>
            </w:r>
            <w:r w:rsidR="00000000" w:rsidRPr="00000000" w:rsidDel="00000000">
              <w:rPr>
                <w:rtl w:val="0"/>
              </w:rPr>
              <w:t xml:space="preserve"> atbalstu saskaņā ar Komisijas regulu Nr. 1407/2013 un kas darbojas arī nozarēs, kuras minētas Komisijas regulas Nr. 1407/2013 1. panta 1. punkta “a”, “b” vai “c” apakšpunktā, nodrošina šo nozaru darbību vai izmaksu nodalīšanu.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MK noteikumu projekta 37.punkta redakcijas nav nepārprotami skaidrs nosacījums par izmaksu nodalīšanu, līdz ar to piedāvājam precizēt MK noteikumu projekta redakciju sekojoši: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Saimnieciskās darbības veicējs, kuram piemēro de minimis atbalstu saskaņā ar Komisijas regulu Nr. 1407/2013 un kas darbojas arī nozarēs, kuras minētas Komisijas regulas Nr. 1407/2013 1. panta 1. punkta “a”, “b” vai “c” apakšpunktā, nodrošina šo nozaru darbību vai izmaksu nodalīšanu, saskaņā ar Komisijas regulas Nr. 1407/2013 1. panta 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Nepārprotamības nodrošināšanai papildināts noteikumu projekta 38. punkts (iepriekš 37. punkts), precizējot prasības nozaru darbību vai izmaksu nodalīšanai.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Saimnieciskās darbības veicējs, kuram piemēro </w:t>
            </w:r>
            <w:r w:rsidR="00000000" w:rsidRPr="00000000" w:rsidDel="00000000">
              <w:rPr>
                <w:i w:val="1"/>
                <w:rtl w:val="0"/>
              </w:rPr>
              <w:t xml:space="preserve">de minimis</w:t>
            </w:r>
            <w:r w:rsidR="00000000" w:rsidRPr="00000000" w:rsidDel="00000000">
              <w:rPr>
                <w:rtl w:val="0"/>
              </w:rPr>
              <w:t xml:space="preserve"> atbalstu saskaņā ar Komisijas regulu Nr. 1407/2013 un, kas darbojas arī nozarēs, kuras minētas Komisijas regulas Nr. 1407/2013 1. panta 1. punkta “a”, “b” vai “c” apakšpunktā, nodrošina šo nozaru darbību vai izmaksu nodalīšanu, saskaņā ar Komisijas regulas Nr. 1407/2013 1. panta 2.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visām izmaksām, kas nepieciešamas, lai sasniegtu OPERATIONAL ARRANGEMENTS noteiktos atskaites punktus un mērķus, jābūt iekļautām Eiropas Savienības Atveseļošanas un noturības mehānisma (turpmāk – AF) plāna izmaksās/aprēķinos, kas tika apstiprināti no Eiropas  komisijas (turpmāk - EK) puses. Atbilstoši EK sniegtajai informācijai, budžeta iestāžu esošo darbinieku tekošās atalgojuma izmaksas nav finansējamas no AF plāna finansējuma, jo AF plāna finansējums nav paredzēts iestādes ikdienas funkciju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AF plāna ietvaros tiek īstenots projekts/reforma, kura īstenošana nav tieši saistīta ar iestādes ikdienas procesiem un funkcijām, šīs funkcijas ir nodalāmas, kā arī darbiniekam AF plāna finansēta projekta/reformas ietvaros nāksies veikt pienākumus, kas nav viņa ikdienas pienākumu ietvaros, iestāde var vērtēt projekta/reformas vadības un īstenošanas personāla atalgojuma izmaksas segt no AF plāna līdzekļiem, </w:t>
            </w:r>
            <w:r w:rsidR="00000000" w:rsidRPr="00000000" w:rsidDel="00000000">
              <w:rPr>
                <w:b w:val="1"/>
                <w:rtl w:val="0"/>
              </w:rPr>
              <w:t xml:space="preserve">vienlaikus nodrošinot paredzēto mērķu un atskaites punktu atbilstošu sasniegšanu noteiktajā apmērā</w:t>
            </w:r>
            <w:r w:rsidR="00000000" w:rsidRPr="00000000" w:rsidDel="00000000">
              <w:rPr>
                <w:rtl w:val="0"/>
              </w:rPr>
              <w:t xml:space="preserve">. Nodarbinātības formu un veidu iestāde organizē atbilstoši iestādes ierastajai kārtībai un Darba likumam. Kā arī atgādinām, ka specifiski attiecināmības jautājumi individuāli ir jāskaņo ar EK. 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izvērtējusi priekšlikumā norādīto un skaidro, ka jau izziņas 14. punktā ir sniegts skaidrojums par to, ka projekta vadības un īstenošanas personāla izmaksas ir akceptētas no Eiropas Komisijas puses, ka NVA AF plāna īstenošana nav ikdienas funkcija un tās īstenošanai ir nepieciešams atbilstošs finansējums (informācija tika iekļauta AF plāna 2. pielikumā “Izmaksas un finansējums” (pieejams: https://www.esfondi.lv/upload/anm/03_anm_plana_pielikums_nr2_11062021.xlsx).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3.1.2.5.i investīcijas finansējuma netiks finansētas NVA pamatdarbības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jau sākotnēji 3.1.2.5.i investīcijas mērķa,   atskaites punktu, mērķrādītāju, uzraudzības rādītāju un kopējo rādītāju vērtību noteikšanā tika ņemts vērā, ka 3.1.2.5.i investīcijas projekta īstenošanai būs nepieciešams  finansējums arī projekta vadības un īstenošanas personāla atlīdzībai. Tāpēc 3.1.2.5.i investīcijas atskaites punktu, mērķrādītāju, uzraudzības rādītāju un kopējo rādītāju  sasniegšana paredzēta AF plānā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w:t>
            </w:r>
            <w:r w:rsidR="00000000" w:rsidRPr="00000000" w:rsidDel="00000000">
              <w:rPr>
                <w:i w:val="1"/>
                <w:rtl w:val="0"/>
              </w:rPr>
              <w:t xml:space="preserve">Likmes aprēķinu pamato šādi normatīvie akti un informācijas avoti:</w:t>
            </w:r>
            <w:r w:rsidR="00000000" w:rsidRPr="00000000" w:rsidDel="00000000">
              <w:rPr>
                <w:rtl w:val="0"/>
              </w:rPr>
              <w:t xml:space="preserve">" precizēt, projekta koordinatora amata apakšsaimi, ņemot vērā, ka 39.2. apakšsaimē ietilpst ES fondu vadībā iesaistīto atbildīgo iestāžu, sadarbības iestādes, vadošās iestādes, revīzijas iestādes un sertifikācijas iestādes amati. Amati, kuru pamatfunkcija ir projektu vadīšana un projekta aktivitāšu īstenošana, klasificējami 39.1. apakšsaimē.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precizēta projekta koordinatora amata  saime, to mainot no 39.2. saimes I līmeņa uz  39.1. saimes IIA līmeni.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2021. gada 24. jūnija Regula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neattiecas uz Atveseļošanas fondu (turpmāk- AF), bet, ņemot vērā AF plānā minēto, ka ieviešanā tiek piemēroti ES struktūrfondu un Kohēzijas fondu principi, tad aicinām tehniski precizēt informāciju anotācijas 1.3. sadaļā Risinājuma apraksts, ka attiecībā uz vienkāršotajām izmaksām investīcijas īstenošanā tiks piemēroti Regulas 55. panta 1. punktā noteiktie nosacījumi par vienoto likmi 20 %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papildināta informācija, tehniski precizējot sadarbības partnera personāla atlīdzību izmaksu apjomu. Vienlaikus norādīts, ka attiecībā uz vienkāršotajām izmaksām projekta personāla atlīdzībām, investīcijas īstenošanā tiks piemēroti Eiropas Savienības struktūrfondu un Kohēzijas fondu principi, t.i., paredzot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55. panta 1. punktā noteikto vienoto likmi 20 % apmērā no attiecināmajām izmaksām, kas nav atbalstāmo darbību personāla izmaksas. Norādītās projekta personāla atlīdzības izmaksas ir nepieciešamas, lai nodrošinātu investīcijas atskaites punktu, mērķrādītāju, uzraudzības rādītāju un kopējo rādītāju  sasniegšanu saskaņā ar AF plānā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kopumā atbalsta LM iecerētās aktivitātes bezdarbnieku un bezdarba riskam pakļauto iedzīvotāju atbalstam. No tiesību akta anotācijas "Investīcijas ietvaros ir plānotas šādas atbalstāmās darbības un to indikatīvās AF izmaksas" sadaļā esošās informācijas noprotam, ka 3. aktivitātes ietvaros programmas dalībnieki varēs apgūt jebkura Latvijas Kvalifikāciju ietvarstruktūras (LKI) līmeņa profesionālo kvalifikāciju, kas ietverta normatīvajā aktā par obligāti piemērojamo profesiju standartu un profesionālās kvalifikācijas prasību sarakstu. Vienlaikus anotāicjā norādīts, ka ārpus formālās izglītības sistēmas apgūtās profesionālās kompetences novērtēšanu varēs saņemt tikai līdz 4. LKI līmenim. Aicinām skaidrot, vai pastāv iespējas 3. aktivitātē iekļaut arī 5. līmeņa profesionālās kvalifikācijas atzīšanu, ņemot vērā, ka līdz ar Profesionālās izglītības likuma izmaiņām 2022. gadā, ir radušās plašākas iespējas piešķirt profesionālās kvalifikācijas LKI 5. un arī 6./7. līmenī ārpus akadēmiskās izglītības ietvara.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kvalifikācijas līmeņi ārpus formālās izglītības iegūto prasmju novērtēšanai pašreiz ir atrunāti Ministru kabineta 2011. gada 25. janvāra noteikumos Nr. 75 “Noteikumi par aktīvo nodarbinātības pasākumu un preventīvo bezdarba samazināšanas pasākumu organizēšanas un finansēšanas kārtību un pasākumu īstenotāju izvēles principiem” (turpmāk – MK noteikumi Nr. 75):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 Ja profesionālā kompetence, kas atbilst otrajam, trešajam vai ceturtajam kvalifikācijas līmenim, apgūta ārpus formālās izglītības sistēmas, tās novērtēšanu (ietverot profesionālās kvalifikācijas eksāmena organizēšanu) nodrošina saskaņā ar normatīvajiem aktiem par kārtību, kādā novērtē ārpus formālās izglītības sistēmas iegūto profesionālo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projektā noteikts, ka mācību pasākumus plānots īstenot atbilstoši MK noteikumos Nr. 75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26.2.1. šo noteikumu 15.1., 15.2., 15.3., 15.4., 15.5., 15.6., 15.7., 15.8., 15.9., 15.10., un 15.11. apakšpunktā minētās atbalstāmās darbības īsteno un šo noteikumu 16.2.1., 16.2.2., 16.2.3., 16.2.4., 16.3.1., 16.3.2., 16.3.3., 16.3.4., 16.3.5., 16.3.6. 16.3.7. un 16.3.9. apakšpunktā minētās izmaksas plāno atbilstoši normatīvajiem aktiem par aktīvo nodarbinātības pasākumu un preventīvo bezdarba samazināšanas pasākumu organizēšanas un finansēšanas kārtību un pasākumu īstenotāju izvēles principiem, ciktāl šie noteikumi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pieņem zināšanai sniegto priekšlikumu un izvērtēs tā iekļaušanu nākamajos MK noteikumu Nr. 75 grozījumos, veicot konsultācijas ar Izglītības un zinātnes ministriju (jo iepriekš ārpus formālās izglītības iegūtās zināšanas varēja novērtēt līdz 4. kvalifikācijas līmenim).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- 24.03.2023.)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kopumā atbalsta LM iecerētās aktivitātes bezdarbnieku un bezdarba riskam pakļauto iedzīvotāju atbalstam. Vienlaikus anotācijas  "Investīcijas ietvaros ir plānotas šādas atbalstāmās darbības un to indikatīvās AF izmaksas" sadaļā ir norādīts gan indikatīvais konkrēto darbību dalībnieku skaits, kā arī vidējās izmaksas uz vienu personu. Aicinām anotācijā izvērstāk skaidrot, kā ir veikti aprēķini un prognozes par indikatīvo dalībnieku skaitu un plānotajām izmaksām, īpaši attiecībā uz 3. un 4. darbību, kurās plānots liels dalībnieku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apakšsadalā “Risinājuma apraksts”, informāciju daļā par investīcijas ietvaros plānotajām atbalstāmajām darbībām un to indikatīvajām AF izmaksām, papildinot  ar norādi, ka vidējā izmaksu aprēķinā uz vienu dalībnieku tika ņemtas vērā 2021.-2022. gada izmaksas katrā atbalstāmo darbību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apakšsadaļu "Finansējuma saņēmēja (NVA) pienākumi" pēdējo rindkopu, norādot kur un kādā veidā Nodarbinātības valsts aģentūra (turpmāk – NVA) nodrošinās privātā līdzfinansējuma uzskaiti.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apakšsadaļā “Risinājuma apraksts” informācija daļā, kurā tiek aprakstīti finansējuma saņēmēja (NVA) pienākumi. Pēdējā rindkopa papildināta ar norādi, ka privātā līdzfinansējuma uzskaiti NVA veic informācijas sistēmās vai izmantojot alternatīvus datu uzkrāšanas risinājumus.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anotācijas 1.3. sadaļas aprakstu pie "Vai ir izvērtēti alternatīvie risinājumi?", liekot akcentu uz Eiropas Savienības Atveseļošanas un noturības mehānisma plāna 3.1. reformu un investīciju virziena “Reģionālā politika” 3.1.2. reformu “Sociālo un nodarbinātības pakalpojumu pieejamība minimālo ienākumu reformas atbalstam”.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 sadaļā “Pašreizējā situācija, problēmas un risinājumi”  ietvertais apraksts “Vai ir izvērtēti alternatīvie risinājumi?”, ietverot informāciju par to, ka detalizēts investīcijas ieguldījumu pamatojums ir sniegts AF plānā un īpaši AF plāna 3.1. reformu un investīciju virziena “Reģionālā politika” 3.1.2. reformas “Sociālo un nodarbinātības pakalpojumu pieejamība minimālo ienākumu reformas atbalstam” ieviešanas aprakstā.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problēmas un risinājumi" apakšsadaļa  "Kopējie rādītāji" pēdējo rindkopu, norādot, ka ņemot vērā Ministru kabineta 2022.gada 22.marta sēdes protokollēmuma (prot. Nr. 17 34. §) par Informatīvais ziņojums "Par Kohēzijas politikas Eiropas Savienības fondu investīciju aktualitātēm līdz 2022.gada 1.februārim (pusgada ziņojums)" (22-TA-417) 8.7.punktā noteikto uzdevumu nozaru ministrijām un institūcijām, kas atbildīgas par AF plāna investīciju un reformu ieviešanu, ieviest efektīvu risku pārvaldību un, konstatējot būtiskus riskus ar divu mēnešu kavējumu saistošo atskaites punktu un mērķu sasniegšanā attiecībā pret Darbības kārtībā noteiktajiem termiņiem, steidzamības kārtībā iesniegt izskatīšanai Ministru kabinetā informatīvo ziņojumu, tai skaitā rīcības variantus, priekšnosacījumus, pasākumus šķēršļu novēršanai un konkrētu priekšlikumu rīcībai, kas nodrošina AF plānā noteikto saistību izpildi AF finansējuma saņemšanai no Eiropas Komisijas.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apakšsadaļas “Risinājuma apraksts” daļā, kurā aprakstīti investīcijas ietvaros sasniedzamie atskaites punkti un mērķrādītāji, uzraudzības rādītāji un kopējie rādītāji, to sasniegšanu pamatojošā informācija un dokumentācija, kuru NVA iesniedz vadības informācijas sistēmā, precizēti nosacījumi, norādot sekojoši: “Gadījumā, ja LM identificēs novirzes atskaites punktu vai mērķrādītāju sasniegšanā, tā,  ņemot vērā Darbības kārtībā un MK 2022. gada 22. marta sēdes protokollēmuma (prot. Nr. 17 34. §) par Informatīvais ziņojums “Par Kohēzijas politikas Eiropas Savienības fondu investīciju aktualitātēm līdz 2022.gada 1.februārim (pusgada ziņojums)” (22-TA-417) 8.7. apakšpunktā noteikto uzdevumu nozaru ministrijām un institūcijām, kas atbildīgas par AF plāna investīciju un reformu ieviešanu, ieviest efektīvu risku pārvaldību un, konstatējot būtiskus riskus ar divu mēnešu kavējumu saistošo atskaites punktu un mērķu sasniegšanā attiecībā pret Darbības kārtībā noteiktajiem termiņiem, izvērtējot steidzamību, informāciju virzīs Finanšu ministrijas (turpmāk – FM)  iekļaušanai pusgada informatīvajā ziņojumā vai steidzamības kārtībā iesniegs izskatīšanai MK informatīvo ziņojumu, tai skaitā rīcības variantus, priekšnosacījumus, pasākumus šķēršļu novēršanai un konkrētu priekšlikumu rīcībai, kas nodrošina AF plānā noteikto saistību izpildi AF finansējuma saņemšanai no Eiropas Komisijas.”.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pilnu nosaukumu anotācijas 1.3.sadaļas punktā “Risinājuma apraksts” 10.apakšpunktā norādītajam saīsinājumam “BDMAL”.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minētais Bezdarbnieku un darba meklētāju atbalsta likums papildināts ar iekavu, kurā ietverts tā saīsinājums –  (turpmāk – BDMAL).</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norādīto atbalstāmo darbību vidējo izmaksu uz vienu personu norādīt ar diviem cipariem aiz komata.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pieeja ar vairāk kā diviem cipariem aiz komata, kas ir iekļauta anotācijā, izvēlēta ar nolūku sasniegt precīzus finanšu aprēķinus investīcijas atbalstāmo darbību sadalījumā. Noapaļošana līdz diviem cipariem aiz komata nav vēlama, jo tad, veicot matemātiskās darbības, netiks sasniegtas/nesakritīs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viennozīmīgi skaidrs, lūdzam anotācijas apakšadaļu "Risinājuma apraksts" papildināt ar informāciju, vai unikālās personas tiks uzskaitītas projekta darbību līmenī vai visā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aktīvās darba tirgus politikas pasākumu efektivitātes un ietekmes regulārai novērtēšanai, kā arī vienas vienības izmaksu aprēķinam katrā no aktivitātēm un analītisku pārskatu sagatavošanai investīcijas ieguldījumu pamatošanai šīs investīcijas ietvaros ir paredzēts uzkrāt lielāku informācijas apjomu salīdzinājumā ar EK vadlīnijās par kopējiem rādītājiem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anotācijas apakšsadaļa “Risinājuma apraksts” papildināta ar norādi, ka investīcijas īstenošanas laikā tiks uzskaitīts gan dalību skaits kopumā un katrā no pasākumu veidiem/aktivitātēm (darbību līmenī), gan unikālo personu/dalībnieku skaits projekta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detalizētāk skaidrot anotācijas 1.3.sadaļā minēto par pievienotās vērtības nodokli (turpmāk - PVN), jo šobrīd anotācija nesniedz pietiekami izvērstu informāciju no kurām darbībām radīsies PVN un cik lielā apmērā katrai no darbībām tās 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pareizi saprotam, tad mācību iestādes (reģistrēti PVN maksātāji) sniedz bezdarba riskam pakļautām personām mācību pakalpojumu, kas ir ar PVN apliekams darījums. Tā kā šīs mācības organizē NVA, tad mācību iestāde izraksta NVA PVN rēķinu par mācību pakalpojuma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“Risinājuma apraksts” aprakstā par PVN indikatīvo apmēru, informācija papildināta, norādot indikatīvās PVM izmaksas sadalījumā pa pozīcijām.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Pilnveidots arī skaidrojums par to, kāpēc PVN izmaksas ir indikatīvas un precīzi nav prognozējams to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sadaļā redakciju ņemot vērā, ka Atveseļošanas fondā nav tāds izmaksu dalījums kā "netiešās" izmaksas. Līdz ar to precizējams arī noteikumu projekta 17.punkts.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16.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anotācijas 3.sadaļas 6.2.punktā minēto "</w:t>
            </w:r>
            <w:r w:rsidR="00000000" w:rsidRPr="00000000" w:rsidDel="00000000">
              <w:rPr>
                <w:i w:val="1"/>
                <w:rtl w:val="0"/>
              </w:rPr>
              <w:t xml:space="preserve">Projekta vadību un īstenošanu nodrošinās 28 vadības personāla amata vietas un 111 īstenošanas personāla (četras no tām IKVD personāls) amata vietas (kopā – 139 amata vietas</w:t>
            </w:r>
            <w:r w:rsidR="00000000" w:rsidRPr="00000000" w:rsidDel="00000000">
              <w:rPr>
                <w:rtl w:val="0"/>
              </w:rPr>
              <w:t xml:space="preserve">)." Vienlaikus vēršam uzmanību, ka AF plāna 2.pielikumā pie 3.1.2.5.i. sadaļā "Izmantotā metodika un izmaksu apraksts" minētas 135 amata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gan AF plāna 2. pielikumā pie investīcijas sadaļā “Izmantotā metodika un izmaksu apraksts” minētas 135 amata slodzes, anotācijā personāls norādīts indikatīvi. Tas tiks piesaistīts atkarībā no projekta darbību specifikas, to īstenošanas ilguma un intensitātes.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ietvaros plānots apstrādāt personas datus, lūdzam aizpildīt anotācijas 8.1.13.punktu.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investīcijas ietvaros plānots apstrādāt personas datus, aizpildīts anotācijas 8.1.13. apakšpunkts, norādot, ka, lai identificētu un uzskaitītu investīcijas ietvaros atbalstu saņēmušās mērķa grupas personas, ir paredzēta personu datu apstrāde. Personu datu apstrāde tiks veikta saskaņā ar Eiropas Parlamenta un Padomes 2016. gada 27. aprīļa Regulas (ES) Nr. 2016/679 par fizisku personu aizsardzību attiecībā uz personas datu apstrādi un šādu datu brīvu apriti un ar ko atceļ Direktīvu 95/46/EK, ievērošanu un citiem Latvijas normatīvajos aktos personu datu aizsardzības jomā ietvertajiem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22-TA-3562</w:t>
    </w:r>
    <w:r>
      <w:br/>
    </w:r>
    <w:r w:rsidR="00000000" w:rsidRPr="00000000" w:rsidDel="00000000">
      <w:rPr>
        <w:rtl w:val="0"/>
      </w:rPr>
      <w:t xml:space="preserve">01.06.2023. 22.54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22-TA-3562</w:t>
    </w:r>
    <w:r>
      <w:br/>
    </w:r>
    <w:r w:rsidR="00000000" w:rsidRPr="00000000" w:rsidDel="00000000">
      <w:rPr>
        <w:rtl w:val="0"/>
      </w:rPr>
      <w:t xml:space="preserve">01.06.2023. 22.54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Izziņa_22-TA-3562.docx</dc:title>
</cp:coreProperties>
</file>

<file path=docProps/custom.xml><?xml version="1.0" encoding="utf-8"?>
<Properties xmlns="http://schemas.openxmlformats.org/officeDocument/2006/custom-properties" xmlns:vt="http://schemas.openxmlformats.org/officeDocument/2006/docPropsVTypes"/>
</file>