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22-TA-632: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aprakstot investīcijas sasaisti un ietekmi uz īstenojamo reformu 6.3.1. "Publiskās pārvaldes modernizācija" (atbilstoši Atveseļošanas un noturības mehānisma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3. un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Eiropas Savienības Atveseļošanas un noturības mehānisma plāna 6.komponentes “Likuma vara” 6.3. reformu un investīciju virziena “Publiskās pārvaldes modernizācija” investīcijā (6311i; 6312; 6313i; 6314i) tiks aptverti tādi  6.3.1.r Publiskās pārvaldes modernizācija mērķa rādītāji kā</w:t>
            </w:r>
            <w:r w:rsidR="00000000" w:rsidRPr="00000000" w:rsidDel="00000000">
              <w:rPr>
                <w:u w:val="single"/>
                <w:rtl w:val="0"/>
              </w:rPr>
              <w:t xml:space="preserve"> atskaites punkti</w:t>
            </w:r>
            <w:r w:rsidR="00000000" w:rsidRPr="00000000" w:rsidDel="00000000">
              <w:rPr>
                <w:rtl w:val="0"/>
              </w:rPr>
              <w:t xml:space="preserve">: “Apstiprināts valsts pārvaldes modernizācijas plāns”; “Apstiprināts progresa pārskats par valsts pārvaldes modernizācijas plāna īstenošanu”;  “Ir apstiprināta vienota pakalpojumu centra koncepcija kā priekšnoteikums centralizētu pakalpojumu sniegšanai”  un </w:t>
            </w:r>
            <w:r w:rsidR="00000000" w:rsidRPr="00000000" w:rsidDel="00000000">
              <w:rPr>
                <w:u w:val="single"/>
                <w:rtl w:val="0"/>
              </w:rPr>
              <w:t xml:space="preserve">mērķis</w:t>
            </w:r>
            <w:r w:rsidR="00000000" w:rsidRPr="00000000" w:rsidDel="00000000">
              <w:rPr>
                <w:rtl w:val="0"/>
              </w:rPr>
              <w:t xml:space="preserve"> “To tiešās publiskās pārvaldes cilvēkresursu īpatsvars, kuri centralizēti saņem grāmatvedības un cilvēkresursu vadības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Valsts kanceleja Atveseļošanas fonda plānā ir noteikta kā atbildīgā  par 6.3.1.r “Publiskās pārvaldes modernizācija” atskaites punktu “Apstiprināts valsts pārvaldes modernizācijas plāns”; “Apstiprināts progresa pārskats par valsts pārvaldes modernizācijas plāna īstenošanu”;  “Ir apstiprināta vienota pakalpojumu centra koncepcija kā priekšnoteikums centralizētu pakalpojumu sniegšanai”  un mērķa “To tiešās publiskās pārvaldes cilvēkresursu īpatsvars, kuri centralizēti saņem grāmatvedības un cilvēkresursu vadības pakalpojumus”, šo atskaites punktu un mērķa sasniegšanai no Atveseļošanās fonda finansējums netiek piešķirts, Valsts kanceleja to veic no tai budžetā paredzētajiem līdzekļiem  un atbilstoši tai deleģētajām funkcijām, līdz ar to par šo atskaites punktu un mērķa sasniegšanu noteiktajā laikā un apmērā ir atbildīga Valsts kanceleja un šie atskaites punkti un mērķi tieši nav attiecināmi ne uz vienu konkrētu investīciju 6.3.1. reformas ietvaros, bet ir attiecināmi pakārtoti.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pievienotās vērtības nodokļa (turpmāk – PVN)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PVN attiecināms no valsts budžeta, tad jāparedz PVN uzraudzības funkcija kā līgumslēdzējam, tā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pirms finansējuma saņemšanas pievienotās vērtības nodokļa izmaksu apmērā, iesniedzot projekta maksājuma pieprasījumu, sniedz apliecinājumu, ka minētās summas nav </w:t>
            </w:r>
            <w:r w:rsidR="00000000" w:rsidRPr="00000000" w:rsidDel="00000000">
              <w:rPr>
                <w:rtl w:val="0"/>
              </w:rPr>
              <w:t xml:space="preserve">un netiks</w:t>
            </w:r>
            <w:r w:rsidR="00000000" w:rsidRPr="00000000" w:rsidDel="00000000">
              <w:rPr>
                <w:rtl w:val="0"/>
              </w:rPr>
              <w:t xml:space="preserve"> atgūtas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nodrošina atsevišķu projekta izmaksu, t.sk. pievienotās vērtības nodokļa izmaksu uzskaiti un nodalīšanu, kā arī tam ir pienākums atgriezt pārmaksāto pievienotās vērtības nodokļa daļu, ja sākotnēji plānotais pievienotās vērtības nodokļa apjoms būs lielāks, nekā faktiski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Līgumslēdzējs pēc finansējuma saņēmēja maksājumu pieprasījumu saņemšanas pārbauda, vai tam pievienots </w:t>
            </w:r>
            <w:r w:rsidR="00000000" w:rsidRPr="00000000" w:rsidDel="00000000">
              <w:rPr>
                <w:rtl w:val="0"/>
              </w:rPr>
              <w:t xml:space="preserve">finansējuma saņēmēja</w:t>
            </w:r>
            <w:r w:rsidR="00000000" w:rsidRPr="00000000" w:rsidDel="00000000">
              <w:rPr>
                <w:rtl w:val="0"/>
              </w:rPr>
              <w:t xml:space="preserve"> apliecinājums, ka tas PVN izmaksas nav atguvis un neatgūs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31.6., 35.3. un 36.4.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ziņojuma 12.punktu ar konkrētu 6.3.1.1.i mērķa rādītāju un atskaites punktu nosaukumiem,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punkts: "Pieejams kompetenču satvars, tostarp 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"To valsts pārvaldes darbinieku skaits, kas sagatavoti vismaz vienā no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oficiālajā tulkojumā ir radusies kļūda, jo ir  norādīta “valsts pārvalde”, lai gan Atveseļošanās fonda plānā un saistītajos pielikumos tiek runāts par “publisko pārvaldi”, tulkojums būtiski sašaurina mērķa grupu, vēršam Jūsu uzmanību, ka angliskajā versijā jēdziens lietots ir pareizi un ir “public administration”. Darba procesā, kad kļūda tika pamanīta, mēs tikām aicināti vairs nerakstīt iebildumu, līdz ar to lūdzam ļaut lietot 12.1.apakšpunktā korekto terminu “publiskā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14.punktu, norādot, ka informāciju par dalībniekiem un Eiropas Komisijas (turpmāk - EK)  noteiktajiem Atveseļošanas fonda kopējiem rādītājiem  t.sk. un to apakšveidiem, ir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tikai uzkrāt, bet arī ievadīt  Kohēzijas politikas vadības informācijas sistēmā  vienlaikus norādot arī atbildību kurš to veiks.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atbilstoši EK vadlīnijām par kopējo rādītāju ziņošanu, rādītājs būs jāziņo pa vecuma grupām, kā arī jānorāda, kuras no personām ir piedalījušās digitālo prasmju pilnveidē (Participants in digital skills training), lūdzam papildināt informatīvo ziņojuma projekta punktu ar normu par šo dalījumu, lai nodrošinātu finansējuma saņēmējam viennozīmīgu izpratni par uzkrājamajiem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nepieciešamības gadījumā precizēt nosacījumus par unikālo personu ziņošanu atbilstoši EK vadlīnijām par kopējiem radītājiem, ņemot vērā, ka EK vadlīnijas pie šī kopējā rādītāja attiecībā uz unikālo personu ziņošanu ir norādīts, ka gadījumā ir dalībnieks piedalās atsevišķās apmācībās, tad katrā no tām ziņojams kā unikāls (Participation shall be counted per education or training activity, even if it lasts several years. Additionally, a participant to two different education or training activities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"ierobežota projektu iesniegumu atlase". Vēršam uzmanību, ka Atveseļošanas un noturības mehānisma ietvaros netiek lietots termins “ierobežota projektu iesniegumu atlase”. Aicinām to aizstāt ar vārdiem “ierobežots pretendentu loks” vai citu. Attiecīgus precizējumus lūdzam veikt visā informatīvā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kopējo rādītāju definīciju atbilstoši "Komisijas deleģētās regulas (ES) 2021/2106 (2021. gada 28. septembris), ar kuru, nosakot atveseļošanas un noturības rezultātu pārskata kopējos rādītājus un detalizētos elementus, papildina Eiropas Parlamenta un Padomes Regulu (ES) 2021/241, ar ko izveido Atveseļošanas un noturības mehānismu" tulkojumam latviešu valodā (EUR-Lex - 32021R2106 - EN - EUR-Lex (europa.eu)). Šīs investīcijas gadījumā t.i. kopējais rādītājs "Izglītības vai apmācības dalībnieku skaits" un tā apakšveidi.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18.5.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visām izmaksām, kas nepieciešamas, lai sasniegtu OPERATIONAL ARRANGEMENTS noteiktos atskaites punktus un mērķus, tām jābūt iekļautām AF plāna izmaksās/aprēķinos, kas tika apstiprināti no Eiropas Komisijas (turpmāk - EK) puses. Atbilstoši EK sniegtajai informācijai, iestāžu esošo darbinieku tekošās atalgojuma izmaksas nav finansējamas no AF plāna finansējuma, jo AF plāna finansējums nav paredzēts iestādes ikdienas funkciju izmaksu segšanai. Ja AF plāna ietvaros tiek īstenots projekts/reforma, kura īstenošana nav tieši saistīta ar iestādes ikdienas procesiem un funkcijām, šīs funkcijas ir nodalāmas, kā arī darbiniekam AF plāna finansēta projekta/reformas ietvaros nāksies veikt pienākumus, kas nav viņa ikdienas pienākumu ietvaros, iestāde var vērtēt projekta/reformas vadības un īstenošanas personāla atalgojuma izmaksas segt no AF plāna līdzekļiem, vienlaikus nodrošinot paredzēto mērķu un atskaites punktu atbilstošu sasniegšanu noteiktajā apmērā. Nodarbinātības formu un veidu iestāde organizē atbilstoši iestādes ierastajai kārtībai un Darba likumam. Kā arī atgādinām, ka specifiski attiecināmības jautājumi individuāli ir jāskaņo ar EK. Ņemot vērā sniegto skaidrojumu, kā arī dažādos reformu/investīciju ieviešanas modeļus un to dažādo specifiku, lūdzam Valsts Kancelejai izvērtēt sniegto skaidrojumu un piemērot atbilstošāko no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izmaksas ir saskaņotas ar Eiropas Komisiju. Ikdienas funkcijas netiks finansētas no Atveseļošanas fonda.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vārdus “1 vienības izmaksas” un nelietot Eiropas Savienības struktūrfondu un Kohēzijas fonda (turpmāk - ES fondi) terminoloģiju, ja vien nav plānots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20.1.apakšpunktu.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vārdus “vienas vienības apmācību izmaksas” un nelietot ES fondu terminoloģiju, ja vien nav plānots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20.3.apakšpunktu.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 pieejami ziņojuma 20.3.apakšpunktā minētie dati un, vai līdzīga pieeja tiek plānota arī ES fondu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šāds izmaksu aprēķins ir saskaņots ar Eiropas Komisiju, kā arī nosūtīti un saskaņoti pierādījumi aprēķiniem, kas balstīti uz Valsts kancelejas un Valsts administrācijas skolas vēsturiskajiem un statistiskajiem datiem, kas saskaņoti ar Eiropas Komisiju Atveseļošanas un noturības mehānisma plāna izstrādes laikā. Līdzīga pieeja tiek plānota saistībā ar  Administratīvās kapacitātes ceļa kartes Eiropas Savienības Kohēzijas politikas programmas 2021.-2027.gada perioda plāna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informatīvā ziņojuma projektā ir ietvertas visas prasības, kas attiecas uz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ievadīšanu un uzkrāšanu Kohēzijas politikas vadības informācijas sistēmā (turpmāk - vadības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Informācijas ievades apjomu, t.sk. vai nepieciešams uzkrāt datus par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Datu ievades regularitāti, kas ir nepieciešama, lai uzraudzītu AF plāna ieviešanas progresu un nodrošinātu datu pieejamību un to apstrādi atbilstoši Eiropas Savienības Atveseļošanas un noturības mehānisma un nacionālā ekonomikas un atveseļošanas un noturības plāna īstenošanas uzraudzības kārtībā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Atbildības sadalījumu starp Valsts kanceleju un finansējuma saņēmēju datu ievadē. Valsts kanceleja vienojas par atbildības sadalījumu datu ievadē, nepieciešamības gadījumā slēdzot starpresoru vienošanās par sadarbību datu ievadē vadības informācijas sistēmā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Nepieciešamo pamatojošo dokumentu par noteikto atskaites punktu un mērķu sasniegšanu augšupielādes apjomu un regularitāti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prasītās informācijas būs detalizēti noteikta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projekta vadība, kas minēta ziņojuma 21.punktā atšķiras no šī ziņojuma 18.2. punkta minētā personāla, ja projekta vadība nodrošina apmācību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18.2. apakšpunktā ir noteikts personāls, kas nodrošina saturisko investīcijas projekta īstenošanu, savukārt 21. punktā ir noteikts personāls, kas tehniski nodrošinās projekta īstenošanu (projekta vadītājs, asistents, jurists, iepirkuma speciālists, finanšu speciālists, mācību koordinators).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kādiem finanšu līdzekļiem tik segts sadārdzinājums.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"Vadlīnijas informatīvā ziņojuma vai Ministru kabineta noteikumu izstrādei par Eiropas Savienības Atveseļošanas un noturības mehānisma plāna reformas vai investīcijas ieviešanu" noteikto, lūdzam papildināt, ka projekta iesniedzējs tiks izvērtēts atbilstoši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27.punkta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29.punktu, ka iekšējā audita struktūrvienības iesaiste nepieciešama, lai apliecinātu atskaites punktu un/ vai mērķa sasniegšanu un izmaksu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36.6.apakšpunktu, ievērojot to, ka avansa maksājumu var plānot ne lielāku kā 30% no kopējām projekta AF finansējuma, nosakot avansa maksājuma saņemšanas nosacījumus, t.i. sasaistot ar projekta sasniedzamajiem mērķiem un atskaites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valsts budžeta iestāde un visu finansējumu saņems ar finansēšanas plānu. 36.6.nosaka finansējuma saņēmēja atbildību, kad viņš slēdz līgumu ar pakalpojuma sniedzēju, kurā esam norādījuši avansa apmēra pieļaujamo lielumu, kā arī šādā gadījumā to nav iespējams pielīdzināt sasniedzamajiem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šādai vadības un kontroles sistēmai (turpmāk - VKS) jau ir jābūt, papildus VKS tiek pielāgots AF specifikai,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vai precizēt 37.2.apakšpunktu, atrunājot, ka maksājumu pieprasījumu un izdevumus iesniedz Kohēzijas politikas vadības informācijas sistēmā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36.2.apakšpunktu.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45.punktu ar informāciju, par investīcijas sasaisti, sinerģiju un demarkāciju ar citu atbalsta instrumentu investīcijām, dubultfinansējuma riska mazināšana, piemēram, Eiropas Savienības Atveseļošanas un noturības mehānisma plāna 2.komponentes “Digitālā transformācija” 2.1. reformu un investīciju virziena “Valsts procesu un pakalpojumu modernizācija un digitālā transformācija” investīcijas 2.1.2.1.i. "Pārvaldes centralizētās platformas un sistēmas" plānotajiem ieguldījumiem, ņemot vērā, ka minētās investīcijas ietvaros tiek plānots “Vienotas iestāžu pārvaldības pakalpojumu centra izveides nodrošinājums, vienotās resursu vadības ieviešana” projekts. Tajā skaitā precizējot 45.punkta redakciju, nosakot, ka tiks vērtēta un kādā veidā tiks novērsta dubultfinansēšana.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un noturības mehānisma plāna 2.komponentes “Digitālā transformācija” 2.1. reformu un investīciju virziena “Valsts procesu un pakalpojumu modernizācija un digitālā transformācija” investīcijas 2.1.2.1.i. "Pārvaldes centralizētās platformas un sistēmas" nekādā veidā nav saistīta ar investīciju 6.3.1.1.i.“Atvērta, caurskatāma, godprātīga un atbildīga publiskā pārvalde”, jo investīcijas 6.3.1.1.i. darbības ir saistītas ar apmācību veikšanu publiskajā pārvaldē  īpaši fokusējoties uz Eiropas Semestra procesā identificētajiem trūkumiem – interešu konflikta režīma uzlabošanu, integritātes un pretkorupcijas novērtējuma uzlabošanu un nekādā veidā nav saistīta ar platformu izveidi 2.1.2.1.i., kas tiek identificēts par IKT projektu atbilstoši Atveseļošanās fonda definētajam.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auditu kopsavilkums būs jāiesniedz pie katra maksājuma pieprasījuma (MP).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6.3.1.1.i. ietvaros plānots stiprināt valsts un pašvaldību institūciju kapacitāti un cilvēkresursu profesionalizāciju. Vides aizsardzības un reģionālās attīstības ministrija (turpmāk – VARAM) uzskata, ka, lai nodrošinātu atvērtu, caurskatāmu, godprātīga un atbildīgu pārvaldību,  īstenojot Reģionālās attīstības likumā plānošanas reģioniem noteikto kompetenci, būtu nepieciešams stiprināt arī plānošanas reģionu kā atvasinātas publiskas personas darbinieku kapacitāti šīs investīcijas ietvaros. Līdz ar to lūdzam informatīvā ziņojuma 5.punktu izteikt šādā redakcijā: “Investīcijas 6.3.1.1.i. ietvaros plānots stiprināt valsts, plānošanas reģionu un pašvaldību institūciju kapacitāti un cilvēkresursu profesionalizāciju,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6.3.1.1.i. ietvaros plānots stiprināt valsts, plānošanas reģionu un pašvaldību institūciju kapacitāti un cilvēkresursu profesionalizāciju,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45.rindkopā iekļaut informāciju par investīcijas 6.3.1.1.i. demarkāciju ar Atjaunošanas un noturības mehānisma ietvaros VARAM plānoto investīciju 3.1.1.2.i. “Pašvaldību kapacitātes stiprināšana to darbības efektivitātes un kvalitātes uzlabošanai” un Eiropas Savienības kohēzijas politikas programmas 2021.–2027.gadam pasākumu 5.1.1.2. „Pašvaldību un plānošanas reģionu un kapacitātes uzlabošana”, kas arī ir vērsts uz publiskās pārvaldes efektivitātes celšanu reģionālā un vietējā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par investīcijas 6.3.1.1.i. īstenošanu atbildīga ir Valsts kanceleja, savukārt Atveseļošanas fonda saņēmējs ir Valsts Administrācijas skola. Tā kā citas institūcijas nav pieminētas kā mērķa rādītāja sasniegšanā iesaistītas, secinām, ka Valsts administrācijas skola būs vienīgā, kas nodarbosies ar mērķa rādītāja sasniegšanu. Novērtējot lielo Valsts Administrācijas skolas ieguldījumu publiskās pārvaldes darbinieku un amatpersonu izglītōšanā un kvalifikācijas celšanā, lūdzam paskaidrot un papildināt informatīvo ziņojumu ar informāciju par to, vai Valsts Administrācijas skolai būs pietiekama kapacitāte izvirzītā mērķa rādītāja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izstrādi nosaka “Vadlīnijas informatīvā ziņojuma vai Ministru kabineta noteikumu izstrādei par Eiropas Savienības Atveseļošanas un noturības mehānisma plāna reformas vai investīcijas ieviešanu”, kuras neparedz prasītās informācijas sniegšanu. Sniedzam sekojošu skaidrojumu: Administrācijas skola kā vienīgais saņēmējs ir apstiprināts Atveseļošanas fonda plānā, kā arī visa papildus no Eiropas Komisijas prasītā informācija saistībā ar Atveseļošanās fonda mērķiem un atskaites punktiem, piemēram, kompetenču satvara izveidi, mācību programmu izveidi, kā arī izmaksu pamatojums ir balstīts uz Valsts administrācijas skolu un tās pieredzi, ņemot vērā arī tai deleģētās funkcijas saistībā ar mācību veikšanu.  Papildus norādām, ka investīcijas 6.3.1.1.i. būtība ir vienota centralizēta pieeja, vienoti centralizēti mācību modeļi, kompetenču ietvars, kā arī centralizētas mācības publiskā pārvaldē strādājošiem, ciktāl tas ir attiecināms uz publisko pārvaldi kopumā, lai visai publiskajai pārvaldei būtu vienādas zināšanas.  Valsts Administrācijas skola ES fondu plānošanas periodā 2014.-2020.g. ir veiksmīgi ieviesusi divus līdzīga satura un aktivitāšu projektus par kopējo finansējumu vairāk nekā 7 miljoni euro apmērā, apmācot vairāk nekā 30000 nodarbināto, kā arī papildus  katru gadu organizē mācības no valsts budžeta līdzekļiem, 0.5 miljonu euro apmērā ar vidēji 10000 apmācīto gadā. Informējam, ka investīcijas 6.3.1.1.i. pieejamais finansējums kopumā sastāda 600 000 euro, kas ir 10% no Valsts administrācijas skolas iepriekšējos gados īstenoto projektu summas, uzskatām, ka Valsts administrācijas skolai ir atbilstoša pieredz un kapacitāte, lai investīcija 6.3.1.1.i., tiktu ieviesta augstā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"Citi nosacījumi" 43.punktā noteikts, ka "</w:t>
            </w:r>
            <w:r w:rsidR="00000000" w:rsidRPr="00000000" w:rsidDel="00000000">
              <w:rPr>
                <w:i w:val="1"/>
                <w:rtl w:val="0"/>
              </w:rPr>
              <w:t xml:space="preserve">Izvērtējot sabiedriskā labuma biedrību un nodibinājumu, iesaisti atskaites punkta ieviešanā, skaidrojam, ka biedrību un nodibinājumu, kas darbojas sabiedriskajam labumam, iesaiste tika nodrošināta Atveseļosanas fonda plāna izstrādes procesā un tiek tiek nodrošināta investīcijas regulējuma izstrādes brīdī, kā aŗi tie var līdzdarboties projektā Publiskā iepirkumu likuma ietvaros". </w:t>
            </w:r>
            <w:r w:rsidR="00000000" w:rsidRPr="00000000" w:rsidDel="00000000">
              <w:rPr>
                <w:rtl w:val="0"/>
              </w:rPr>
              <w:t xml:space="preserve">Saistībā ar iepriekš izteikto iebildumu, lūdzam papildināt informatīvo ziņojumu ar skaidrojumu, kā tiek plānota sabiedriskā labuma biedrību un nodibinājumu iesaiste projektā, proti, vai tiek plānots piesaistīt biedŗibas un nodibinājumus, kas piedalīsies mācību materiālu izstrādē, apmācību īstenošānā utt. Kādi publiskie iepirkumi un par ko tiek plānoti?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izstrādi nosaka “Vadlīnijas informatīvā ziņojuma vai Ministru kabineta noteikumu izstrādei par Eiropas Savienības Atveseļošanas un noturības mehānisma plāna reformas vai investīcijas ieviešanu”, kuras neparedz šādas detalizācijas pakāpes informācijas sniegšanu, jo atbilst projekta līmenim un nav iekļaujama informatīvajā ziņojumā, taču sniedzam skaidrojumu izziņā. Mācību satura izstrādē tiks pieaicināti jomu eksperti, kā piemēram KNAB, Valsts drošības dienests, SAB, Delna, Providus u.c. Savukārt iepirkumi tiks veikti atbilstoši Iepirkumu likumā noteiktajam, konsultēšanās ar jomas ekspertiem notiks, ievērojot interešu konflikta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konkrētus iepirkumus nav iespējams nosaukt, jo tas tiks plānots projekta ietvaros pēc kompetenču satvara izstrādes.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atbilstošu skaidrojumu valsts atbalsta kontekstā, ņemot vērā Ministru kabineta 2021.gada 28.aprīļa rīkojuma Nr. 292 "Par Latvijas Atveseļošanas un noturības mehānisma plānu"</w:t>
            </w:r>
            <w:r w:rsidR="00000000" w:rsidRPr="00000000" w:rsidDel="00000000">
              <w:rPr>
                <w:vertAlign w:val="superscript"/>
                <w:rtl w:val="0"/>
              </w:rPr>
              <w:t xml:space="preserve">1</w:t>
            </w:r>
            <w:r w:rsidR="00000000" w:rsidRPr="00000000" w:rsidDel="00000000">
              <w:rPr>
                <w:rtl w:val="0"/>
              </w:rPr>
              <w:t xml:space="preserve"> (1990) rindkopā noteikto, ka “</w:t>
            </w:r>
            <w:r w:rsidR="00000000" w:rsidRPr="00000000" w:rsidDel="00000000">
              <w:rPr>
                <w:i w:val="1"/>
                <w:rtl w:val="0"/>
              </w:rPr>
              <w:t xml:space="preserve">Investīciju 6.3.1.1.i. ietvaros valsts atbalsts netiek plānots, jo finansējuma saņēmēji ir valsts budžeta iestādes un pasākuma ietvaros tiek īstenotas valsts funkcijas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https://likumi.lv/ta/id/322858-par-latvijas-atveselosanas-un-noturibas-mehanisma-planu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punkts Nr.47.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Investīciju 6.3.1.1.i. ietvaros valsts atbalsts netiek plānots, jo finansējuma saņēmēji ir valsts budžeta iestādes un pasākuma ietvaros tiek īstenotas valsts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ziņojuma 26. punktu šādā redakcijā: </w:t>
            </w:r>
            <w:r w:rsidR="00000000" w:rsidRPr="00000000" w:rsidDel="00000000">
              <w:rPr>
                <w:i w:val="1"/>
                <w:rtl w:val="0"/>
              </w:rPr>
              <w:t xml:space="preserve">"Finansējuma saņēmējs pēc Atbildīgās institūcijas uzaicinājuma sagatavo projektu un iesniedz to Kohēzijas politikas fondu vadības informācijas sistēmā (turpmāk – vadības informācijas sistēma), aizpildot definētās projekta sadaļas. Ja uz projekta iesniegšanas brīdi vēl nav nodrošināta vadības informācijas sistēmas funkcionalitāte, finansējuma saņēmējs iesniedz projektu Atbildīgajai institūcijai elektroniskā dokumenta veidā."</w:t>
            </w:r>
            <w:r w:rsidR="00000000" w:rsidRPr="00000000" w:rsidDel="00000000">
              <w:rPr>
                <w:rtl w:val="0"/>
              </w:rPr>
              <w:t xml:space="preserve">, norādot arī, cik ilgā laikā pēc Atbildīgās institūcijas uzaicinājuma finansējuma saņēmējam projekts ir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ziņojuma 34. punktu, ņemot vērā izteikto priekšlikumu pie ziņojuma 26.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34.punkts.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ka publiskās pārvaldes profesionalizācijas pasākumi tiek īstenoti vairākās inicitatīvās paralēli, informatīvā ziņojuma projekta 45. punktā nepieciešams plašāks skaidrojums attiecībā uz demarkāciju saistībā ar 6.3.1.1. reformas, Administratīvās kapacitātes ceļa kartes, kā arī 6.3.1.2. reformas ietvaros īstenojamajiem pasākumiem. Piemēram, ar IUB īstenotās 6.4.3. reformas pasākumiem varētu būt sasaiste jebkurai no šīm iniciatīvām, ņemot vērā apmācāmo mērķa grupu un iekļaujamās 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6.4.3.  finasnējuma Atveseļošans fonda ietvaros nav paredzēts, kā arī IUB pamatbudžetā nav šāda finansējuma, dubultā finansējuma riska iestāšanās šeit nav iespējama, iepriekšminētais pamatojums ir jau norādīts 44.punktā..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11.punktu, jo atbilstoši Finanšu ministrijas izstrādātajām  "Vadlīnijas informatīvā ziņojuma vai Ministru kabineta noteikumu izstrādei par Eiropas Savienības Atveseļošanas un noturības mehānisma plāna reformas vai investīcijas ieviešanu", 31.08.2026. ir termiņš projekta noslēguma dokumentācijas pārbaudei un noslēguma maksājumu veikšanai. Vienlaikus vēršam uzmanību, ka ziņojuma 11.punktā norādītais termiņš ir pretrunā ar 15.punktā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1.punktā precizēt teksta daļu ".</w:t>
            </w:r>
            <w:r w:rsidR="00000000" w:rsidRPr="00000000" w:rsidDel="00000000">
              <w:rPr>
                <w:i w:val="1"/>
                <w:rtl w:val="0"/>
              </w:rPr>
              <w:t xml:space="preserve">..apstiprināto Latvijas Atveseļošanas un noturības mehānisma plānu (turpmāk – Atveseļošanas fonds)...</w:t>
            </w:r>
            <w:r w:rsidR="00000000" w:rsidRPr="00000000" w:rsidDel="00000000">
              <w:rPr>
                <w:rtl w:val="0"/>
              </w:rPr>
              <w:t xml:space="preserve">", pārceļot iekavas un tajā esošo tekstu pirms vārda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atsauci uz Ministru kabineta (turpmāk - MK) informatīvo ziņojumu (2021.gada 7.septembrī MK apstiprinātais informatīvo ziņojumu "Par Latvijas Atveseļošanas un noturības mehānisma plāna ieviešanu" (TA- 2092), jo informatīvais ziņojums attiecas tikai uz administratīvo resursu piešķiršanu VKS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skaitli “19.3” ar skaitli “19.</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saīsinājumu "ES" aizstājot to ar vārdiem "Eiropas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vārdus "</w:t>
            </w:r>
            <w:r w:rsidR="00000000" w:rsidRPr="00000000" w:rsidDel="00000000">
              <w:rPr>
                <w:i w:val="1"/>
                <w:rtl w:val="0"/>
              </w:rPr>
              <w:t xml:space="preserve">komponentes “Likuma vara”</w:t>
            </w:r>
            <w:r w:rsidR="00000000" w:rsidRPr="00000000" w:rsidDel="00000000">
              <w:rPr>
                <w:rtl w:val="0"/>
              </w:rPr>
              <w:t xml:space="preserve">" ar skaitli “6.” pirms vārda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teikuma daļu aiz vārdiem "...</w:t>
            </w:r>
            <w:r w:rsidR="00000000" w:rsidRPr="00000000" w:rsidDel="00000000">
              <w:rPr>
                <w:i w:val="1"/>
                <w:rtl w:val="0"/>
              </w:rPr>
              <w:t xml:space="preserve">tiks risināts Atveseļošanas fonda...</w:t>
            </w:r>
            <w:r w:rsidR="00000000" w:rsidRPr="00000000" w:rsidDel="00000000">
              <w:rPr>
                <w:rtl w:val="0"/>
              </w:rPr>
              <w:t xml:space="preserve">" ar vārdu "plāna''.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teikuma daļu "</w:t>
            </w:r>
            <w:r w:rsidR="00000000" w:rsidRPr="00000000" w:rsidDel="00000000">
              <w:rPr>
                <w:i w:val="1"/>
                <w:rtl w:val="0"/>
              </w:rPr>
              <w:t xml:space="preserve">..., tā kā Atveseļošanas fondā...</w:t>
            </w:r>
            <w:r w:rsidR="00000000" w:rsidRPr="00000000" w:rsidDel="00000000">
              <w:rPr>
                <w:rtl w:val="0"/>
              </w:rPr>
              <w:t xml:space="preserve">" ar vārdu ''plānā'', jo pašā fondā nav noteikti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redakcionāli precizēt vai aizstāt vārdu "režīma" ar līdzīgu terminu kā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w:t>
            </w:r>
            <w:r w:rsidR="00000000" w:rsidRPr="00000000" w:rsidDel="00000000">
              <w:rPr>
                <w:i w:val="1"/>
                <w:rtl w:val="0"/>
              </w:rPr>
              <w:t xml:space="preserve">6.3.1.1.i investīcijas mērķa grupa ir publiskā pārvalde.</w:t>
            </w:r>
            <w:r w:rsidR="00000000" w:rsidRPr="00000000" w:rsidDel="00000000">
              <w:rPr>
                <w:rtl w:val="0"/>
              </w:rPr>
              <w:t xml:space="preserve">" atbilstoši saīsinājumam - "investīcijas  6.3.1.1.i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vārdus "</w:t>
            </w:r>
            <w:r w:rsidR="00000000" w:rsidRPr="00000000" w:rsidDel="00000000">
              <w:rPr>
                <w:i w:val="1"/>
                <w:rtl w:val="0"/>
              </w:rPr>
              <w:t xml:space="preserve">...arī šī ziņojuma Ministru kabineta protokollēmumā.</w:t>
            </w:r>
            <w:r w:rsidR="00000000" w:rsidRPr="00000000" w:rsidDel="00000000">
              <w:rPr>
                <w:rtl w:val="0"/>
              </w:rPr>
              <w:t xml:space="preserve">", aizstājot ar vārdiem “Ministru kabineta protokollēmuma ar kuru pieņemts šis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mērķa rādītāja (tekstā: "</w:t>
            </w:r>
            <w:r w:rsidR="00000000" w:rsidRPr="00000000" w:rsidDel="00000000">
              <w:rPr>
                <w:i w:val="1"/>
                <w:rtl w:val="0"/>
              </w:rPr>
              <w:t xml:space="preserve">mērķa rādītājs - 16 232 </w:t>
            </w:r>
            <w:r w:rsidR="00000000" w:rsidRPr="00000000" w:rsidDel="00000000">
              <w:rPr>
                <w:b w:val="1"/>
                <w:i w:val="1"/>
                <w:rtl w:val="0"/>
              </w:rPr>
              <w:t xml:space="preserve">apmācītie</w:t>
            </w:r>
            <w:r w:rsidR="00000000" w:rsidRPr="00000000" w:rsidDel="00000000">
              <w:rPr>
                <w:i w:val="1"/>
                <w:rtl w:val="0"/>
              </w:rPr>
              <w:t xml:space="preserve">, kas ir jāsasniedz līdz 2026. gada 31. maijam.</w:t>
            </w:r>
            <w:r w:rsidR="00000000" w:rsidRPr="00000000" w:rsidDel="00000000">
              <w:rPr>
                <w:rtl w:val="0"/>
              </w:rPr>
              <w:t xml:space="preserve">") nepārprotamību, aicinām izvērtēt iespēju noteikt "unikālās personas" (ja nevar piedalīties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tālāko aprakstu, rosinām noteikt rādītāja izpildi - "apmācības pabeigušie".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AF plānā paredzētās investīcijas, kā arī  veicot investīciju finansējuma aprēķinus, tika aprēķināti apmācību apmeklējumi, nevis unikālās personas, jo šādas prasības nebija, tā ir parādījusies šī gada februārī, līdz ar to nevaram šo ņemt vērā pie šī rādītāja. Atbilstoši kopējā rādītāja prasībām, uzskaitīsim unikālās personas, kā ir prasīts kopējā rādītāja vadlīnijās un rādītājs būs visticamāk daudz mazāks.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27.punkta divās vietās (t.i. teikuma daļā "</w:t>
            </w:r>
            <w:r w:rsidR="00000000" w:rsidRPr="00000000" w:rsidDel="00000000">
              <w:rPr>
                <w:i w:val="1"/>
                <w:rtl w:val="0"/>
              </w:rPr>
              <w:t xml:space="preserve">...ja nepieciešams, lūdz 10 darba dienu laikā no atzinuma saņemšanas precizēt projekta iesniegumu...</w:t>
            </w:r>
            <w:r w:rsidR="00000000" w:rsidRPr="00000000" w:rsidDel="00000000">
              <w:rPr>
                <w:rtl w:val="0"/>
              </w:rPr>
              <w:t xml:space="preserve">"  un teikuma daļā  "</w:t>
            </w:r>
            <w:r w:rsidR="00000000" w:rsidRPr="00000000" w:rsidDel="00000000">
              <w:rPr>
                <w:i w:val="1"/>
                <w:rtl w:val="0"/>
              </w:rPr>
              <w:t xml:space="preserve">...atkārtoti lūdz sniegt precizējumus,...</w:t>
            </w:r>
            <w:r w:rsidR="00000000" w:rsidRPr="00000000" w:rsidDel="00000000">
              <w:rPr>
                <w:rtl w:val="0"/>
              </w:rPr>
              <w:t xml:space="preserve">" ar vārdiem “projekta iesniedzēju” aiz vārda “lūdz”.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informatīvā ziņojuma 27.punkta beigu daļu "</w:t>
            </w:r>
            <w:r w:rsidR="00000000" w:rsidRPr="00000000" w:rsidDel="00000000">
              <w:rPr>
                <w:i w:val="1"/>
                <w:rtl w:val="0"/>
              </w:rPr>
              <w:t xml:space="preserve">...pieņem lēmumu par projekta apstiprināšanu un vienošanās slēgšanu.</w:t>
            </w:r>
            <w:r w:rsidR="00000000" w:rsidRPr="00000000" w:rsidDel="00000000">
              <w:rPr>
                <w:rtl w:val="0"/>
              </w:rPr>
              <w:t xml:space="preserve">",  papildinot to ar vārdiem “par projekta īstenošanu” aiz vārda"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w:t>
            </w:r>
            <w:r w:rsidR="00000000" w:rsidRPr="00000000" w:rsidDel="00000000">
              <w:rPr>
                <w:i w:val="1"/>
                <w:rtl w:val="0"/>
              </w:rPr>
              <w:t xml:space="preserve">...iekšējā audita struktūrvienība...</w:t>
            </w:r>
            <w:r w:rsidR="00000000" w:rsidRPr="00000000" w:rsidDel="00000000">
              <w:rPr>
                <w:rtl w:val="0"/>
              </w:rPr>
              <w:t xml:space="preserve">", norādot, kuras iestādes iekšējā struktūrvienība, t.i., investīcijas saņēmēja vai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struktūrvienība Valsts kancelejai un Valsts administrācijas skolai ir viena kopīga.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30.punktā aizstāt vārdus “atbildīgā institūcija” ar vārdiem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teikuma daļu "</w:t>
            </w:r>
            <w:r w:rsidR="00000000" w:rsidRPr="00000000" w:rsidDel="00000000">
              <w:rPr>
                <w:i w:val="1"/>
                <w:rtl w:val="0"/>
              </w:rPr>
              <w:t xml:space="preserve">...2017.gada 17.oktobra MK noteikumiem Nr. 630...</w:t>
            </w:r>
            <w:r w:rsidR="00000000" w:rsidRPr="00000000" w:rsidDel="00000000">
              <w:rPr>
                <w:rtl w:val="0"/>
              </w:rPr>
              <w:t xml:space="preserve">"  un datumu pārcelt aiz saīsinājuma “MK”, tādējādi ievērojot juridiskās tehniskas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informāciju atbildīgā institūcija šī punkta redakcijā "</w:t>
            </w:r>
            <w:r w:rsidR="00000000" w:rsidRPr="00000000" w:rsidDel="00000000">
              <w:rPr>
                <w:i w:val="1"/>
                <w:rtl w:val="0"/>
              </w:rPr>
              <w:t xml:space="preserve">Finansējuma saņēmējs pēc atbildīgās institūcijas uzaicinājuma ievada informāciju vadības informācijas sistēmā, aizpildot projekta veidlapā definētos laukus..</w:t>
            </w:r>
            <w:r w:rsidR="00000000" w:rsidRPr="00000000" w:rsidDel="00000000">
              <w:rPr>
                <w:rtl w:val="0"/>
              </w:rPr>
              <w:t xml:space="preserve">." lūdz finansējuma saņēmējam ievadīt.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saņemtos iebildumus.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36.3.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2021.gada 7.septembra noteikumos Nr.621 "Eiropas Savienības Atveseļošanas un noturības mehānisma plāna īstenošanas un uzraudzības kārtība" noteikto, lūdzam izvērtēt un papildināt, ka informācija ir pieejama arī Latvijas Republikas un Eiropas Komisijas finansēšanas nolīgumā par Atveseļošanas un noturības mehānismu minētajām iestādēm. Attiecīgu precizējumu lūdzam veikt arī pie ziņojuma 39.punkta.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35.4 apakšpunktu un 38.punktu.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visā informatīvā ziņojuma tekstā precizēt terminoloģiju attiecībā uz</w:t>
            </w:r>
            <w:r w:rsidR="00000000" w:rsidRPr="00000000" w:rsidDel="00000000">
              <w:rPr>
                <w:b w:val="1"/>
                <w:rtl w:val="0"/>
              </w:rPr>
              <w:t xml:space="preserve"> vienošanos</w:t>
            </w:r>
            <w:r w:rsidR="00000000" w:rsidRPr="00000000" w:rsidDel="00000000">
              <w:rPr>
                <w:rtl w:val="0"/>
              </w:rPr>
              <w:t xml:space="preserve">, jo tiek lietots gan termins  "</w:t>
            </w:r>
            <w:r w:rsidR="00000000" w:rsidRPr="00000000" w:rsidDel="00000000">
              <w:rPr>
                <w:i w:val="1"/>
                <w:rtl w:val="0"/>
              </w:rPr>
              <w:t xml:space="preserve">...vienošanos par investīcijas 6.3.1.1.i. īstenošanu...</w:t>
            </w:r>
            <w:r w:rsidR="00000000" w:rsidRPr="00000000" w:rsidDel="00000000">
              <w:rPr>
                <w:rtl w:val="0"/>
              </w:rPr>
              <w:t xml:space="preserve">", gan citviet termins “vienošanās”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41.5.punkts.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41.5.punkta redakciju "</w:t>
            </w:r>
            <w:r w:rsidR="00000000" w:rsidRPr="00000000" w:rsidDel="00000000">
              <w:rPr>
                <w:i w:val="1"/>
                <w:rtl w:val="0"/>
              </w:rPr>
              <w:t xml:space="preserve">finansējuma pieprasīšanas mehānisms budžetā</w:t>
            </w:r>
            <w:r w:rsidR="00000000" w:rsidRPr="00000000" w:rsidDel="00000000">
              <w:rPr>
                <w:rtl w:val="0"/>
              </w:rPr>
              <w:t xml:space="preserve">", papildināt ar informāciju kādā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vārdus "</w:t>
            </w:r>
            <w:r w:rsidR="00000000" w:rsidRPr="00000000" w:rsidDel="00000000">
              <w:rPr>
                <w:i w:val="1"/>
                <w:rtl w:val="0"/>
              </w:rPr>
              <w:t xml:space="preserve">Eiropas Savienības Atveseļošanas fonda īstenošanas uzraudzības kārtībā</w:t>
            </w:r>
            <w:r w:rsidR="00000000" w:rsidRPr="00000000" w:rsidDel="00000000">
              <w:rPr>
                <w:rtl w:val="0"/>
              </w:rPr>
              <w:t xml:space="preserve">" aizstāt ar vārdiem un skaitli “MK noteikumi Nr.621”,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40.1. un 40.5.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46.punktu ar vārdiem "uz vidi un" pirms vārdiem "uz principu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6.3.1.1.i. ietvaros plānots stiprināt valsts un pašvaldību institūciju kapacitāti un cilvēkresursu profesionalizāciju,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īstenot savos Attīstības plānos un Investīciju programmās noteiktos uzdevumus/projektus, t.sk., paaugstināt pašvaldības darbinieku kompetenci, lūdzam sniegt skaidrojumu, kad un kā Valsts administrācijas skola plāno atlasīt publiskās pārvaldes darbiniekus, t.sk. pašvaldību darbiniekus, kuriem būtu iespēja piedalīties profesionālās pilnveides apmācībās, semināros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administrācija skola, uzsākot sadarbību Atveseļošanās fonda ietvaros, nosūtīs informāciju visām pašvaldībām par plānotajām centralizētajām mācībām, kā arī vietni, kur pieejama aktuālākā informācija un iespēja pieteikties pašiem nodarbinātajiem (https://mps.vas.gov.lv/edu/). Sistēmas darbību regulē 2021.gada 26.oktobra  MK noteikumi Nr.706 “Mācību pārvaldības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Atveseļošanās fonda ietvaros ir plānota atsevišķa investīcija 3.1.1.2.i. “Pašvaldību kapacitātes stiprināšana to darbības efektivitātes un kvalitātes uzlabošanai”, par kuras ieviešanu ir atbildīga VARAM, kas ir vērsta uz pašvaldību individuālajām apmācību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mērķa rādītājs - 16 232 apmācītie, kas ir jāsasniedz līdz 2026. gada 31. maijam. Mērķa rādītājs ir izpildīts, kad ir apmācīti 16 232 publiskajā pārvaldē nodarbinātie – uzrādīts saraksts ar apmācītajām personām un norādi uz saņemtajiem apliecinājumiem/sertifikātiem par dalību, mācību programmu saraksts, mācību programmu apraksts un mācību programmu apmeklējuma statistika.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informatīvo ziņojumu papildināt ar detalizētāku skaidrojumu vārdiem “publiskajā pārvaldē nodarbinātie”, t.i., kuru valsts un pašvaldību iestāžu, institūciju nodarbinātajiem paredzētas šī pasākuma ietvaros plānotās apmācības, un vai mērķauditorija ir plānota publiskajā pārvaldē konkrētās sfērās strādājošie un/vai noteiktas darbinieku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punkts nosaka, kas tiks apmācīti (.. stiprināt valsts, plānošanas reģionu un pašvaldību institūciju kapacitāti..). Netiek plānotas īpaši apmācāmās darbinieku grupas vai konkrētās sfērās strādājošie.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pasākuma ietvaros kvalifikācijas celšana tiks īstenota 3 dažādos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e-kursu veidā - 33,3% jeb 200 000 EUR apmērā, atbilstoši pieejamajiem datiem viena e-kursa ieviešana izmaksā vidēji 40 000 EUR, kas būtu 5 e-kursi un plānotais apmācīto skaits ir 3000 vienā e-kursā, līdz ar to 1 vienības izmaksas sastāda vidēji 15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20.2.specializēto mācību, komandējumu un pasākumu veidā -13,3% jeb 80 000 EUR apmērā, kur izmaksas uz vienu cilvēku, ir plānotas vidēji 500 EUR un plānotais apmācīto skaits sastāda 160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informatīvo ziņojumu papildināt ar detalizētāku skaidrojumu, vai 5 e-kursiem ir noteiktas konkrētas mērķgrupas, nozares, kuru pārstāvjiem tiks veltīti šie e-kursi, vai tie saturēs vispārēju informāciju un būs pielāgojami jebkuram publiskā sektorā strādājošam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informatīvo ziņojumu papildināt ar detalizētāku skaidrojumu, kādas nozares aptver “specializētās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Atveseļošanas fonda un saistītajos pielikumos apstiprinātajam, tiek plānotas sekojošās jomās apmācības: kā ētika, korupcijas apkarošana, krāpšana, ēnu ekonomika, interešu konflikts un iepirkums. Papildus norādām, ka precīzāk apmācību tēmas, tvērums, detalizācijas pakāpe, kā arī zināšanu līmeņi tiks atspoguļoti projekta līmenī, informatīvais ziņojums tādu detalizācijas pakāpi neatspoguļo.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viss iepriekšminētais aprēķins ir saskaņots ar Eiropas Komisiju. Ņemot vērā, ka mācības tiek plānotas publiskajai pārvaldei, tad tēmas ciktāl tās varēs mācīt kopā tiks mācītas kopā, bet kur būs nepieciešamas tās specifiski pielāgot valsts vai pašvaldību nodarbinātajiem tiks pielāgotas atbilstoši nepieciešamajām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tiks izstrādāts kompetenču satvars, lai visas mācības tiktu piedāvātas atbilstoši izvērtētajai nepieciešamībai publiskajā sektorā, tad šobrīd precīzāk nosaukt nozares nav iespējams kā esam iepriekš tekstā nosaukuši.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20.3.tematiskās apmācības - 33,3% jeb 200 000 EUR apmērā, kur vienas vienības apmācību izmaksas vidēji sastāda 180 EUR vebināra formātā, bet klātienes formātā 193 EUR (180 EUR apmācības + 6 EUR telpas + 7 EUR kafijas pauzes) aprēķinātā proporcija ir 50% vebinārs un 50% klātiene un apmācīto skaits sastāda 1072.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informatīvo ziņojumu papildināt ar detalizētāku skaidrojumu, kādas nozares aptver “tematiskās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Atveseļošanas fonda un saistītajos pielikumos apstiprinātajam, tiek plānotas sekojošās jomās apmācības: kā ētika, korupcijas apkarošana, krāpšana, ēnu ekonomika, interešu konflikts un iepirkums. Papildus norādām, ka precīzāk apmācību tēmas, tvērums, detalizācijas pakāpe, kā arī zināšanu līmeņi tiks atspoguļoti projekta līmenī, informatīvais ziņojums tādā detalizācijas pakāpi neatspoguļo.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tiks izstrādāts kompetenču satvars, lai visas mācības tiktu piedāvātas atbilstoši izvērtētajai nepieciešamībai publiskajā sektorā, tad šobrīd precīzāk nosaukt nozares nav iespējams kā esam iepriekš tekstā nosaukuši.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investīcijas 6.3.1.1.i. ietvaros tiek plānots stiprināt valsts un pašvaldību institūciju kapacitāti un cilvēku profesionalizāciju, lūdzam identificēt, kāda daļa no mērķa rādītāja  būs pašvaldību darbinieki.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iepriekš netiek noteiktas kvotas un daļas sadalījumā starp valsts un pašvaldību darbiniekiem, kas piedalīsies mācībās. Tiek plānots, ka apmācības tiks nodrošinātas atbilstoši mērķa grupas interesei. Pirmās statistiskās aplēses par procentuālo sadalījumu būs pieejams atbilstoši finansējuma saņēmēja iesniegtajai  informācijai vadības informācijas sistēmā, nākamā gada 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investīcijas 6.3.1.1.i. mērķa auditorija ir ne tikai valsts institūciju darbinieki, bet arī pašvaldību amatpersonas, jānem vērā, ka, lai arī pašvaldības ir publiskās paŗvaldes sastāvdaļa, tomēr pašvaldību darbā mēdz būt specifiski jautājumi, kas jāņem vērā, izstrādājot apmācību programmas un mācību materiālus. Lai veiksmīgi ieviestu projektu, lūdzam apsvērt iespēju,  piesaistīt arī Latvijas Pašvaldību mācību centru, kas specializējas pašvaldību darbinieku apmācībā un kvalifikācijas celšanā.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izstrādājot mācību programmas tiks ņemtas vērā gan valsts pārvaldes, gan pašvaldību nodarbinātajiem nepieciešamās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Atveseļošanās fonda ietvaros ir plānota atsevišķa investīcija 3.1.1.2.i. “Pašvaldību kapacitātes stiprināšana to darbības efektivitātes un kvalitātes uzlabošanai”, ar kuras palīdzību tiks risināti katrai pašvaldībai īpaši nepieciešamie un specifiskie kapacitātes jautājumi. Jāņem vērā, ka Valsts administrācijas skolas 6.3.1.1.i. investīcijai pieejamais finansējums ir 600 000 euro, kas domāti centralizētu mācību programmu ieviešana visai publiskajai pārvaldei, līdz ar to ļoti specifiskas mācības no šī finansējuma nebūs iespējams finansēt, lai tiktu nodrošināta efektīvs un caurskatām līdzekļu izlietojums. Iespēju robežās Valsts administrācijas skola piesaistīt Latvijas Pašvaldību mācību centru 6.3.1.1.i. investīcijas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nosaukumā pārcelt vārdu “investīcijas” aiz skaitļa “6.3.1.1.i”, lai nodrošinātu vienotu pieraksta veidu visos tiesību aktos un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w:t>
            </w:r>
            <w:r w:rsidR="00000000" w:rsidRPr="00000000" w:rsidDel="00000000">
              <w:rPr>
                <w:b w:val="1"/>
                <w:rtl w:val="0"/>
              </w:rPr>
              <w:t xml:space="preserve">6.3.1.1.i. investīcijas</w:t>
            </w:r>
            <w:r w:rsidR="00000000" w:rsidRPr="00000000" w:rsidDel="00000000">
              <w:rPr>
                <w:rtl w:val="0"/>
              </w:rPr>
              <w:t xml:space="preserve"> “Atvērta, caurskatāma, godprātīga un atbildīga publiskā pārvalde”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1.punktā pārcelt vārdu “investīcijas” aiz skaitļa “6.3.1.1.i”, lai nodrošinātu vienotu pieraksta veidu visos tiesību aktos un dokumentos. Attiecīgus precizējumus lūdzam veikt arī tālāk tekstā, piemēram, informatīvā ziņojuma 3.punktā, 5.punktā, 6.punktā, un citos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2.punktā aiz vārda “mehānismu” papildināt ar vārdiem un zīmēm "(turpmāk – Regula Nr. 2021/241)".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Norādīto saīsinājumu lūdzam lietot arī tālāk tekstā, piemēram, informatīvā ziņojuma 13.un 45.punktā.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pamato Likuma par budžeta un finanšu vadību  19. </w:t>
            </w:r>
            <w:r w:rsidR="00000000" w:rsidRPr="00000000" w:rsidDel="00000000">
              <w:rPr>
                <w:vertAlign w:val="superscript"/>
                <w:rtl w:val="0"/>
              </w:rPr>
              <w:t xml:space="preserve">3</w:t>
            </w:r>
            <w:r w:rsidR="00000000" w:rsidRPr="00000000" w:rsidDel="00000000">
              <w:rPr>
                <w:rtl w:val="0"/>
              </w:rPr>
              <w:t xml:space="preserve"> panta otrā daļa un EIROPAS PARLAMENTA UN PADOMES REGULA (ES) 2021/241 (2021. gada 12. februāris), ar ko izveido Atveseļošanas un noturības mehānismu </w:t>
            </w:r>
            <w:r w:rsidR="00000000" w:rsidRPr="00000000" w:rsidDel="00000000">
              <w:rPr>
                <w:b w:val="1"/>
                <w:rtl w:val="0"/>
              </w:rPr>
              <w:t xml:space="preserve">(turpmāk – Regula Nr. 2021/241)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Informatīvā ziņojuma 4.punktu jaunā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precīzējums.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10.punktā aizstāt vārdus “šī ziņojuma”  ar vārdiem " informatīvā ziņojuma", ņemot vērā iepriekš tekstā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tālāk tekstā, piemēram, informatīvā ziņojuma 28.punktā.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 un 28.punkta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11.punkta beigu daļu, aiz skaitļa un vārda "31.maijam" liekot punktu. Vēršam uzmanību uz to, ka saskaņā ar informatīvajā ziņojuma 15.punktā norādīto finansējuma saņēmējam projekta noslēguma dokumentācija jāiesniedz līdz 2026 gada 30.jūnijam. Lūdzam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27.punkta 1.teikumā aizstāt vārdu “fondā” ar vārdu “fonda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27.punktu papildināt ar zemsvītras atsauci, norādot, ka izslēgšanas nosacījumi ir saskaņā ar Finanšu regulas 136.pantu.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zemsvītras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28.punktā precizēt punkta redakciju, jo vadības informācijas sistēmā nenosaka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savas kompetences ietvaros nodrošina savlaicīgu datu uzskaiti un ievadi vadības informācijas sistēmā 2 reizes gadā, līdz katra gada 25.janvārim un 25.jūlijam, par šajā ziņojumā noteiktajiem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28.punkta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41.4.apakšpunktā svītrot vārdus “līgums vai”, ņemot vērā informatīvā ziņojuma 41.punkta ievadā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ierosina precizēt tekstu 44.punktā par investīcijas demarkāciju ar VARAM plānoto atbalstu plānošanas reģionu un pašvaldību speciālistu zināšanu un prasmju celšanai šādā redakcijā: "6.3.1.1.i. demarkācija ir noteikta ar Vides aizsardzības un reģionālās attīstības ministrijas pārziņā esošo investīciju 3.1.1.2.i. “Pašvaldību kapacitātes stiprināšana to darbības efektivitātes un kvalitātes uzlabošanai” un Eiropas Savienības Kohēzijas politikas programmas 2021.–2027.gadam pasākumu 5.1.1.2. „Pašvaldību un plānošanas reģionu un kapacitātes uzlabošana”, ņemot vērā, ka </w:t>
            </w:r>
            <w:r w:rsidR="00000000" w:rsidRPr="00000000" w:rsidDel="00000000">
              <w:rPr>
                <w:b w:val="1"/>
                <w:i w:val="1"/>
                <w:rtl w:val="0"/>
              </w:rPr>
              <w:t xml:space="preserve">plānotais atbalsts ir vērsts uz plānošanas reģionu un pašvaldību vajadzībām to kapacitātes stiprināšanai funkciju un publisko pakalpojumu efektivitātes uzlabošanai, kā arī kvalitatīvākai attīstības plānošanai un projektu īstenošanai</w:t>
            </w:r>
            <w:r w:rsidR="00000000" w:rsidRPr="00000000" w:rsidDel="00000000">
              <w:rPr>
                <w:i w:val="1"/>
                <w:rtl w:val="0"/>
              </w:rPr>
              <w:t xml:space="preserve">, </w:t>
            </w:r>
            <w:r w:rsidR="00000000" w:rsidRPr="00000000" w:rsidDel="00000000">
              <w:rPr>
                <w:rtl w:val="0"/>
              </w:rPr>
              <w:t xml:space="preserve">savukārt investīcija 6.3.1.1.i. ir balstīta uz centralizētu vajadzību apzināšanu un centralizētu mācību veikšanu interešu konflikta, integritātes un pretkorupcijas mazināšanas jomās visai publiskajai pārvaldei."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6.3.1.1.i. demarkācija ir noteikta ar Vides aizsardzības un reģionālās attīstības ministrijas pārziņā esošo investīciju 3.1.1.2.i. “Pašvaldību kapacitātes stiprināšana to darbības efektivitātes un kvalitātes uzlabošanai” un Eiropas Savienības Kohēzijas politikas programmas 2021.–2027.gadam pasākumu 5.1.1.2. „Pašvaldību un plānošanas reģionu un kapacitātes uzlabošana”, ņemot vērā, ka plānotais atbalsts ir vērsts uz plānošanas reģionu un pašvaldību vajadzībām to kapacitātes stiprināšanai funkciju un publisko pakalpojumu efektivitātes uzlabošanai, kā arī kvalitatīvākai attīstības plānošanai un projektu īstenošanai, savukārt investīcija 6.3.1.1.i. ir balstīta uz centralizētu vajadzību apzināšanu un centralizētu mācību veikšanu interešu konflikta, integritātes un pretkorupcijas mazināšanas jomās visai publiskajai pārvaldei.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44.punkta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pasākuma ietvaros kvalifikācijas celšana tiks īstenota 3 dažādos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e-kursu veidā - 33,3% jeb 200 000 EUR apmērā, atbilstoši pieejamajiem datiem viena e-kursa ieviešana izmaksā vidēji 40 000 EUR, kas būtu 5 e-kursi un plānotais apmācīto skaits ir 3000 vienā e-kursā, līdz ar to 1 vienības izmaksas sastāda vidēji 15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lūgums informatīvo ziņojumu papildināt ar detalizētāku skaidrojumu, vai 5 e-kursiem ir noteiktas konkrētas mērķgrupas, nozares, kuru pārstāvjiem tiks veltīti šie e-kursi, vai tie saturēs vispārēju informāciju un būs pielāgojami jebkuram publiskā sektorā strādājošam speciālistam?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 informācija ir projekta līmeņa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izstrādāts kompetenču satvars, kas definēs informatīvā ziņojumā nosauktajās nozarēs nepieciešamās mācības sadalījumā pa mācību veidiem un zināšanu līmeņiem atbilstoši mērķa grupas nepieciešamībai,  līdz ar to, lai nesašaurinātu projekta tvērumu šobrīd precīzāk nosaukt nozares sadalījumā pa mācību veidiem nav iespējams, kā iepriekš informatīvajā ziņojumā ir jau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20.2.specializēto mācību, komandējumu un pasākumu veidā -13,3% jeb 80 000 EUR apmērā, kur izmaksas uz vienu cilvēku, ir plānotas vidēji 500 EUR un plānotais apmācīto skaits sastāda 160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lūgums informatīvo ziņojumu papildināt ar detalizētāku skaidrojumu, kādas nozares aptver “specializētās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 informācija ir projekta līmeņa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izstrādāts kompetenču satvars, kas definēs informatīvā ziņojumā nosauktajās nozarēs nepieciešamās mācības sadalījumā pa mācību veidiem un zināšanu līmeņiem atbilstoši mērķa grupas nepieciešamībai,  līdz ar to, lai nesašaurinātu projekta tvērumu šobrīd precīzāk nosaukt nozares sadalījumā pa mācību veidiem nav iespējams, kā iepriekš informatīvajā ziņojumā ir jau definēts.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20.3.tematiskās apmācības - 33,3% jeb 200 000 EUR apmērā, kur vienas vienības apmācību izmaksas vidēji sastāda 180 EUR vebināra formātā, bet klātienes formātā 193 EUR (180 EUR apmācības + 6 EUR telpas + 7 EUR kafijas pauzes) aprēķinātā proporcija ir 50% vebinārs un 50% klātiene un apmācīto skaits sastāda 1072.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lūgums informatīvo ziņojumu papildināt ar detalizētāku skaidrojumu, kādas nozares aptver “tematiskās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 informācija ir projekta līmeņa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izstrādāts kompetenču satvars, kas definēs informatīvā ziņojumā nosauktajās nozarēs nepieciešamās mācības sadalījumā pa mācību veidiem un zināšanu līmeņiem atbilstoši mērķa grupas nepieciešamībai,  līdz ar to, lai nesašaurinātu projekta tvērumu šobrīd precīzāk nosaukt nozares sadalījumā pa mācību veidiem nav iespējams, kā iepriekš informatīvajā ziņojumā ir jau definēts.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6.3. reformu un investīciju virziena “Publiskās pārvaldes modernizācija” investīcijas 6.3.1.1.i. “Atvērta, caurskatāma, godprātīga un atbildīga publiskā pārvalde”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protokollēmuma nosaukumā vārdu “investīcijas” aiz skaitļa “6.3.1.1.i”, lai nodrošinātu vienotu pieraksta veidu visos tiesību aktos un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Savienības Atveseļošanas un noturības mehānisma plāna 6.komponentes “Likuma vara” 6.3. reformu un investīciju virziena “Publiskās pārvaldes modernizācija” 6.3.1.1.i. investīcijas “Atvērta, caurskatāma, godprātīga un atbildīga publiskā pārvalde”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6.3. reformu un investīciju virziena “Publiskās pārvaldes modernizācija” 6.3.1.1.i. investīcijas “Atvērta, caurskatāma, godprātīga un atbildīga publiskā pārvalde”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īstenošanai nepieciešamo neattiecināmo izmaksu - pievienotās vērtības nodokli 100 800 euro apmērā segšanu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(turpmāk - MK) protokollēmuma projekta 3.punktu ar skaitļiem “6.3.1.1.i” pirms vārda “investīcijas”,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precizēt MK protokollēmuma projekta 3.punktu ar vārdu "indikatīvi" pirms vārda un skaitļa "100 800 </w:t>
            </w:r>
            <w:r w:rsidR="00000000" w:rsidRPr="00000000" w:rsidDel="00000000">
              <w:rPr>
                <w:i w:val="1"/>
                <w:rtl w:val="0"/>
              </w:rPr>
              <w:t xml:space="preserve">euro</w:t>
            </w:r>
            <w:r w:rsidR="00000000" w:rsidRPr="00000000" w:rsidDel="00000000">
              <w:rPr>
                <w:rtl w:val="0"/>
              </w:rPr>
              <w:t xml:space="preserve">", ievērojot informatīvajā ziņojumā minēto, ka valsts budžeta finansējums </w:t>
            </w:r>
            <w:r w:rsidR="00000000" w:rsidRPr="00000000" w:rsidDel="00000000">
              <w:rPr>
                <w:u w:val="single"/>
                <w:rtl w:val="0"/>
              </w:rPr>
              <w:t xml:space="preserve">indikatīvi </w:t>
            </w:r>
            <w:r w:rsidR="00000000" w:rsidRPr="00000000" w:rsidDel="00000000">
              <w:rPr>
                <w:rtl w:val="0"/>
              </w:rPr>
              <w:t xml:space="preserve">ir 100 800 </w:t>
            </w:r>
            <w:r w:rsidR="00000000" w:rsidRPr="00000000" w:rsidDel="00000000">
              <w:rPr>
                <w:i w:val="1"/>
                <w:rtl w:val="0"/>
              </w:rPr>
              <w:t xml:space="preserve">euro</w:t>
            </w:r>
            <w:r w:rsidR="00000000" w:rsidRPr="00000000" w:rsidDel="00000000">
              <w:rPr>
                <w:rtl w:val="0"/>
              </w:rPr>
              <w:t xml:space="preserve">, kas paredzēts pievienotās vērtības nodokļa (turpmāk – PVN) segšanai un ņemot vērā faktu, ka uz doto brīdi precīzas PVN izmaksas nav zināmas.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6.3.1.1.i investīcijas īstenošanai nepieciešamo neattiecināmo izmaksu - pievienotās vērtības nodokli indikatīvi 100 800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MK sēdes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6.3.1.1.i. investīcijas īstenošanai nepieciešamo neattiecināmo izmaksu - pievienotās vērtības nodokli indikatīvi 100 800 euro apmērā segšanu no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22-TA-632</w:t>
    </w:r>
    <w:r>
      <w:br/>
    </w:r>
    <w:r w:rsidR="00000000" w:rsidRPr="00000000" w:rsidDel="00000000">
      <w:rPr>
        <w:rtl w:val="0"/>
      </w:rPr>
      <w:t xml:space="preserve">05.05.2022. 18.47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22-TA-632</w:t>
    </w:r>
    <w:r>
      <w:br/>
    </w:r>
    <w:r w:rsidR="00000000" w:rsidRPr="00000000" w:rsidDel="00000000">
      <w:rPr>
        <w:rtl w:val="0"/>
      </w:rPr>
      <w:t xml:space="preserve">05.05.2022. 18.47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Izziņa_22-TA-632.docx</dc:title>
</cp:coreProperties>
</file>

<file path=docProps/custom.xml><?xml version="1.0" encoding="utf-8"?>
<Properties xmlns="http://schemas.openxmlformats.org/officeDocument/2006/custom-properties" xmlns:vt="http://schemas.openxmlformats.org/officeDocument/2006/docPropsVTypes"/>
</file>