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norādīts, ka, </w:t>
            </w:r>
            <w:r w:rsidR="00000000" w:rsidRPr="00000000" w:rsidDel="00000000">
              <w:rPr>
                <w:i w:val="1"/>
                <w:rtl w:val="0"/>
              </w:rPr>
              <w:t xml:space="preserve">izvērtējot publisko iepirkumu rezultātus 21 projektā, secināms, ka ir iespējams īstenot vēl vismaz vienu projektu par esošo investīciju pasākumu ieviešanai piešķirto finansējumu, </w:t>
            </w:r>
            <w:r w:rsidR="00000000" w:rsidRPr="00000000" w:rsidDel="00000000">
              <w:rPr>
                <w:i w:val="1"/>
                <w:u w:val="single"/>
                <w:rtl w:val="0"/>
              </w:rPr>
              <w:t xml:space="preserve">piemēram,</w:t>
            </w:r>
            <w:r w:rsidR="00000000" w:rsidRPr="00000000" w:rsidDel="00000000">
              <w:rPr>
                <w:i w:val="1"/>
                <w:rtl w:val="0"/>
              </w:rPr>
              <w:t xml:space="preserve"> "Valsts meliorācijas sistēma Rīgas HES sūkņu stacija Ogre-1, meliorācijas kadastra numurs 0742 010 1001, un krājbaseina pārbūve Ogres pilsētā, Ogres novadā"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anotācijas 1.3. sadaļas apakšsadaļas "Risinājuma apraksts" izriet, ka paredzēts īstenot tieši konkrēto minēto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anotācijā papildu skaidrojumu par to, kā ticis izvēlēts konkrētais projekts kā 1.3.1.2.i. investīcijas “Investīcijas plūdu risku mazināšanas infrastruktūrā” (turpmāk – 1.3.1.2.i investīcija) ietvaros papildu īstenojamais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nodrošinātu viennozīmīgu interpretāciju, aicinām izvērtēt iespēju svītrot augstāk minētajā anotācijas rindkopā vārdu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 ar informāciju par projektu īstenošanas iespējām. Nevar atbalstīt priekšlikumu svītrot vārdu "piemēram", tāpēc pastāv risks neīstenot projektu, līdz ar to nevar uzņemties saistības obligāti īstenot projektu. Panākta vienošanās elektroniskās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“Tiesību akta projekta ietekme uz valsts budžetu un pašvaldību budžetiem” norādīt, ka projekts šo jomu neskar, ievērojot anotācijas 3.sadaļas punktā “Cita informācija” norādīto, ka 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11. punkts, kas attiecas uz finansējumu, netiek mainīts, vienlaikus lūdzam punktu “Cita informācija” papildināt, ka attiecīgi projektu īstenošana tiks nodrošināta no investīcijai pieejamā kopējā finansējuma 39 890 070 euro, tajā skaitā Atveseļošanas un noturības mehānisma finansējuma 32 967 000 euro un valsts budžeta finansējums 6 923 070 euro pievienotās vērtības nodokļa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“Tiesību akta projekta ietekme uz valsts budžetu un pašvaldību budžetiem” norādīts, ka projekts šo jomu neskar,  Anotācijas 3.sadaļas punkts “Cita informācija” papildināts ar šādu informāciju: "Attiecīgi visu projektu īstenošana tiks nodrošināta no investīcijai pieejamā kopējā finansējuma 39 890 070 euro, tajā skaitā Atveseļošanas un noturības mehānisma finansējuma 32 967 000 euro un valsts budžeta finansējuma 6 923 070 euro pievienotās vērtības nodokļa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un lēmumu izsekojamību, lūdzam papildināt Ministru kabineta sēdes protokollēmuma projektu ar jaunu punktu, kas paredz atļauju Zemkopības ministrijai 1.3.1.2.i investīcijas ietvaros radušos atlikumu 5 890 070 </w:t>
            </w:r>
            <w:r w:rsidR="00000000" w:rsidRPr="00000000" w:rsidDel="00000000">
              <w:rPr>
                <w:i w:val="1"/>
                <w:rtl w:val="0"/>
              </w:rPr>
              <w:t xml:space="preserve">euro</w:t>
            </w:r>
            <w:r w:rsidR="00000000" w:rsidRPr="00000000" w:rsidDel="00000000">
              <w:rPr>
                <w:rtl w:val="0"/>
              </w:rPr>
              <w:t xml:space="preserve"> apmērā novirzīt papildu projektu īstenošanai, pārsniedzot Atveseļošanas un noturības mehānisma plānā noteikto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papildināts ar jaunu punktu, bet, tā kā investīcijas finanšu līdzekļu atlikums ir aprēķināts nevis no projektu faktiskajām gala izmaksām, bet ņemot vērā publisko iepirkumu rezultātus, tad punktā precīzi nav norādīta finanšu atlikuma summa. Par Ministru kabineta sēdes protokollēmuma projekta punkta redakciju panākta vienošanās ar Finanšu ministriju elektroniskās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Zemkopības ministrijai no 1.3.1.2.i investīcijas "Investīcijas plūdu risku mazināšanas infrastruktūrā" radušos finanšu līdzekļu atlikumu novirzīt papildu projektu īstenošanai, pārsniedzot Atveseļošanas un noturības mehānisma plānā noteikto rādītāju izpildi, taču nenosakot konkrētu finansējuma apmēru.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w:t>
    </w:r>
    <w:r>
      <w:br/>
    </w:r>
    <w:r w:rsidR="00000000" w:rsidRPr="00000000" w:rsidDel="00000000">
      <w:rPr>
        <w:rtl w:val="0"/>
      </w:rPr>
      <w:t xml:space="preserve">14.03.2025. 08.05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w:t>
    </w:r>
    <w:r>
      <w:br/>
    </w:r>
    <w:r w:rsidR="00000000" w:rsidRPr="00000000" w:rsidDel="00000000">
      <w:rPr>
        <w:rtl w:val="0"/>
      </w:rPr>
      <w:t xml:space="preserve">14.03.2025. 08.05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Izziņa_25-TA-11.docx</dc:title>
</cp:coreProperties>
</file>

<file path=docProps/custom.xml><?xml version="1.0" encoding="utf-8"?>
<Properties xmlns="http://schemas.openxmlformats.org/officeDocument/2006/custom-properties" xmlns:vt="http://schemas.openxmlformats.org/officeDocument/2006/docPropsVTypes"/>
</file>