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B22C0C" w14:textId="77777777" w:rsidR="00786DAF" w:rsidRDefault="00786DAF" w:rsidP="002C22B9">
      <w:pPr>
        <w:jc w:val="center"/>
        <w:rPr>
          <w:sz w:val="20"/>
        </w:rPr>
      </w:pPr>
    </w:p>
    <w:p w14:paraId="0E50AF8A" w14:textId="77777777" w:rsidR="002C22B9" w:rsidRDefault="002C22B9" w:rsidP="002C22B9">
      <w:pPr>
        <w:jc w:val="center"/>
        <w:rPr>
          <w:sz w:val="20"/>
        </w:rPr>
      </w:pPr>
      <w:r w:rsidRPr="00914649">
        <w:rPr>
          <w:sz w:val="20"/>
        </w:rPr>
        <w:t>Rīgā</w:t>
      </w:r>
    </w:p>
    <w:p w14:paraId="486AF92E"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126BCA98" w14:textId="77777777" w:rsidTr="009F77B9">
        <w:tc>
          <w:tcPr>
            <w:tcW w:w="450" w:type="dxa"/>
            <w:tcBorders>
              <w:top w:val="nil"/>
              <w:left w:val="nil"/>
              <w:bottom w:val="nil"/>
              <w:right w:val="nil"/>
            </w:tcBorders>
          </w:tcPr>
          <w:p w14:paraId="4AE62E74"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7B9102AF" w14:textId="13AC8839"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0040302C" w:rsidRPr="00615936">
              <w:rPr>
                <w:szCs w:val="24"/>
              </w:rPr>
            </w:r>
            <w:r w:rsidRPr="00615936">
              <w:rPr>
                <w:szCs w:val="24"/>
              </w:rPr>
              <w:fldChar w:fldCharType="separate"/>
            </w:r>
            <w:r w:rsidR="0040302C">
              <w:rPr>
                <w:szCs w:val="24"/>
              </w:rPr>
              <w:t>18.06.2021</w:t>
            </w:r>
            <w:r w:rsidRPr="00615936">
              <w:rPr>
                <w:szCs w:val="24"/>
              </w:rPr>
              <w:fldChar w:fldCharType="end"/>
            </w:r>
            <w:bookmarkEnd w:id="0"/>
          </w:p>
        </w:tc>
        <w:tc>
          <w:tcPr>
            <w:tcW w:w="708" w:type="dxa"/>
            <w:tcBorders>
              <w:top w:val="nil"/>
              <w:left w:val="nil"/>
              <w:bottom w:val="nil"/>
              <w:right w:val="nil"/>
            </w:tcBorders>
          </w:tcPr>
          <w:p w14:paraId="0520FF05"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5DE417A4" w14:textId="5E3D6741"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8F2596">
              <w:rPr>
                <w:szCs w:val="24"/>
              </w:rPr>
              <w:t>12/A-7</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0040302C" w:rsidRPr="00615936">
              <w:rPr>
                <w:szCs w:val="24"/>
              </w:rPr>
            </w:r>
            <w:r w:rsidRPr="00615936">
              <w:rPr>
                <w:szCs w:val="24"/>
              </w:rPr>
              <w:fldChar w:fldCharType="separate"/>
            </w:r>
            <w:r w:rsidR="0040302C">
              <w:rPr>
                <w:szCs w:val="24"/>
              </w:rPr>
              <w:t>3507</w:t>
            </w:r>
            <w:r w:rsidRPr="00615936">
              <w:rPr>
                <w:szCs w:val="24"/>
              </w:rPr>
              <w:fldChar w:fldCharType="end"/>
            </w:r>
            <w:bookmarkEnd w:id="2"/>
          </w:p>
        </w:tc>
      </w:tr>
      <w:tr w:rsidR="002C22B9" w:rsidRPr="00615936" w14:paraId="29A5884C" w14:textId="77777777" w:rsidTr="009F77B9">
        <w:trPr>
          <w:trHeight w:val="188"/>
        </w:trPr>
        <w:tc>
          <w:tcPr>
            <w:tcW w:w="450" w:type="dxa"/>
            <w:tcBorders>
              <w:top w:val="nil"/>
              <w:left w:val="nil"/>
              <w:bottom w:val="nil"/>
              <w:right w:val="nil"/>
            </w:tcBorders>
          </w:tcPr>
          <w:p w14:paraId="4C47DECB"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7C3AE6B6"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7AB1D391"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130E60D5" w14:textId="77777777" w:rsidR="002C22B9" w:rsidRPr="00615936" w:rsidRDefault="002C22B9" w:rsidP="002C22B9">
            <w:pPr>
              <w:tabs>
                <w:tab w:val="left" w:pos="360"/>
                <w:tab w:val="left" w:pos="3960"/>
              </w:tabs>
              <w:rPr>
                <w:sz w:val="20"/>
              </w:rPr>
            </w:pPr>
          </w:p>
        </w:tc>
      </w:tr>
      <w:tr w:rsidR="002C22B9" w:rsidRPr="00615936" w14:paraId="6AEA27F6" w14:textId="77777777" w:rsidTr="009F77B9">
        <w:tc>
          <w:tcPr>
            <w:tcW w:w="450" w:type="dxa"/>
            <w:tcBorders>
              <w:top w:val="nil"/>
              <w:left w:val="nil"/>
              <w:bottom w:val="nil"/>
              <w:right w:val="nil"/>
            </w:tcBorders>
          </w:tcPr>
          <w:p w14:paraId="4E6A98EF"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6A79F40B" w14:textId="25040DFF"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8F2596">
              <w:rPr>
                <w:szCs w:val="24"/>
              </w:rPr>
              <w:t>03.06.2021</w:t>
            </w:r>
            <w:r w:rsidRPr="00615936">
              <w:rPr>
                <w:szCs w:val="24"/>
              </w:rPr>
              <w:fldChar w:fldCharType="end"/>
            </w:r>
            <w:bookmarkEnd w:id="3"/>
          </w:p>
        </w:tc>
        <w:tc>
          <w:tcPr>
            <w:tcW w:w="708" w:type="dxa"/>
            <w:tcBorders>
              <w:top w:val="nil"/>
              <w:left w:val="nil"/>
              <w:bottom w:val="nil"/>
              <w:right w:val="nil"/>
            </w:tcBorders>
          </w:tcPr>
          <w:p w14:paraId="6394476D"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4A84FCFC" w14:textId="279323EE"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8F2596">
              <w:rPr>
                <w:szCs w:val="24"/>
              </w:rPr>
              <w:t>VSS-538, 22  28§</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48E046C2" w14:textId="77777777" w:rsidTr="000C0DD4">
        <w:trPr>
          <w:jc w:val="right"/>
        </w:trPr>
        <w:tc>
          <w:tcPr>
            <w:tcW w:w="4644" w:type="dxa"/>
          </w:tcPr>
          <w:p w14:paraId="340BEF18" w14:textId="2F701C11" w:rsidR="000C0DD4" w:rsidRDefault="008F2596" w:rsidP="000C0DD4">
            <w:pPr>
              <w:jc w:val="right"/>
              <w:rPr>
                <w:b/>
                <w:bCs/>
                <w:szCs w:val="24"/>
                <w:lang w:eastAsia="lv-LV"/>
              </w:rPr>
            </w:pPr>
            <w:bookmarkStart w:id="5" w:name="org_nos"/>
            <w:r>
              <w:rPr>
                <w:b/>
                <w:bCs/>
                <w:szCs w:val="24"/>
                <w:lang w:eastAsia="lv-LV"/>
              </w:rPr>
              <w:t>PĀRRESORU KOORDINĀCIJAS CENTR</w:t>
            </w:r>
            <w:r w:rsidR="00D92EA5">
              <w:rPr>
                <w:b/>
                <w:bCs/>
                <w:szCs w:val="24"/>
                <w:lang w:eastAsia="lv-LV"/>
              </w:rPr>
              <w:t>AM</w:t>
            </w:r>
          </w:p>
        </w:tc>
      </w:tr>
      <w:bookmarkEnd w:id="5"/>
    </w:tbl>
    <w:p w14:paraId="5F074E8D"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368852A3" w14:textId="77777777" w:rsidTr="000C0DD4">
        <w:tc>
          <w:tcPr>
            <w:tcW w:w="4503" w:type="dxa"/>
            <w:tcBorders>
              <w:top w:val="nil"/>
              <w:left w:val="nil"/>
              <w:bottom w:val="nil"/>
              <w:right w:val="nil"/>
            </w:tcBorders>
          </w:tcPr>
          <w:p w14:paraId="3FE746DF" w14:textId="77777777" w:rsidR="008F2596" w:rsidRDefault="008F2596" w:rsidP="00C04DED">
            <w:pPr>
              <w:jc w:val="left"/>
              <w:rPr>
                <w:i/>
                <w:iCs/>
                <w:szCs w:val="24"/>
                <w:lang w:eastAsia="lv-LV"/>
              </w:rPr>
            </w:pPr>
            <w:r>
              <w:rPr>
                <w:i/>
                <w:iCs/>
                <w:szCs w:val="24"/>
                <w:lang w:eastAsia="lv-LV"/>
              </w:rPr>
              <w:t xml:space="preserve">Par informatīvo ziņojumu "Par inovāciju veicināšanu un pētniecības un attīstības mērķu noteikšanu valsts kapitālsabiedrībās" </w:t>
            </w:r>
          </w:p>
          <w:p w14:paraId="365D5B67" w14:textId="2696A092" w:rsidR="000C0DD4" w:rsidRDefault="008F2596" w:rsidP="00C04DED">
            <w:pPr>
              <w:jc w:val="left"/>
              <w:rPr>
                <w:i/>
                <w:iCs/>
                <w:szCs w:val="24"/>
                <w:lang w:eastAsia="lv-LV"/>
              </w:rPr>
            </w:pPr>
            <w:r>
              <w:rPr>
                <w:i/>
                <w:iCs/>
                <w:szCs w:val="24"/>
                <w:lang w:eastAsia="lv-LV"/>
              </w:rPr>
              <w:t>VSS-538</w:t>
            </w:r>
          </w:p>
        </w:tc>
      </w:tr>
    </w:tbl>
    <w:p w14:paraId="26D7175A" w14:textId="77777777" w:rsidR="00E04F00" w:rsidRPr="00615936" w:rsidRDefault="00E04F00" w:rsidP="00C04DED">
      <w:pPr>
        <w:jc w:val="left"/>
        <w:rPr>
          <w:szCs w:val="24"/>
        </w:rPr>
      </w:pPr>
    </w:p>
    <w:p w14:paraId="20B67A0E" w14:textId="77777777" w:rsidR="00D92EA5" w:rsidRDefault="00D92EA5" w:rsidP="00D92EA5">
      <w:pPr>
        <w:widowControl w:val="0"/>
        <w:tabs>
          <w:tab w:val="left" w:pos="993"/>
        </w:tabs>
        <w:suppressAutoHyphens/>
        <w:ind w:firstLine="709"/>
        <w:rPr>
          <w:kern w:val="1"/>
          <w:szCs w:val="24"/>
        </w:rPr>
      </w:pPr>
      <w:r>
        <w:rPr>
          <w:kern w:val="1"/>
          <w:szCs w:val="24"/>
        </w:rPr>
        <w:t>Finanšu ministrija</w:t>
      </w:r>
      <w:r w:rsidRPr="00F661BF">
        <w:rPr>
          <w:kern w:val="1"/>
          <w:szCs w:val="24"/>
        </w:rPr>
        <w:t xml:space="preserve"> atbilstoši kompetencei </w:t>
      </w:r>
      <w:r>
        <w:rPr>
          <w:kern w:val="1"/>
          <w:szCs w:val="24"/>
        </w:rPr>
        <w:t xml:space="preserve">sadarbībā ar tās kapitālsabiedrībām </w:t>
      </w:r>
      <w:r w:rsidRPr="00F661BF">
        <w:rPr>
          <w:kern w:val="1"/>
          <w:szCs w:val="24"/>
        </w:rPr>
        <w:t xml:space="preserve">ir izvērtējusi Ekonomikas ministrijas izstrādāto informatīvo ziņojumu </w:t>
      </w:r>
      <w:r>
        <w:rPr>
          <w:kern w:val="1"/>
          <w:szCs w:val="24"/>
        </w:rPr>
        <w:t>“P</w:t>
      </w:r>
      <w:r w:rsidRPr="00F661BF">
        <w:rPr>
          <w:kern w:val="1"/>
          <w:szCs w:val="24"/>
        </w:rPr>
        <w:t>ar inovāciju veicināšanu un pētniecības un attīstības mērķu noteikšanu valsts kapitālsabiedrībās”</w:t>
      </w:r>
      <w:r w:rsidRPr="00F661BF">
        <w:rPr>
          <w:b/>
          <w:szCs w:val="24"/>
        </w:rPr>
        <w:t xml:space="preserve"> </w:t>
      </w:r>
      <w:r w:rsidRPr="00F661BF">
        <w:rPr>
          <w:bCs/>
          <w:szCs w:val="24"/>
        </w:rPr>
        <w:t>(turpmāk</w:t>
      </w:r>
      <w:r>
        <w:rPr>
          <w:bCs/>
          <w:szCs w:val="24"/>
        </w:rPr>
        <w:t xml:space="preserve"> – </w:t>
      </w:r>
      <w:r w:rsidRPr="00F661BF">
        <w:rPr>
          <w:bCs/>
          <w:szCs w:val="24"/>
        </w:rPr>
        <w:t>Informatīvais ziņojums)</w:t>
      </w:r>
      <w:r>
        <w:rPr>
          <w:bCs/>
          <w:szCs w:val="24"/>
        </w:rPr>
        <w:t>,</w:t>
      </w:r>
      <w:r w:rsidRPr="00F661BF">
        <w:rPr>
          <w:bCs/>
          <w:szCs w:val="24"/>
        </w:rPr>
        <w:t xml:space="preserve"> Ministru kabineta sēdes protokollēmuma projektu,</w:t>
      </w:r>
      <w:r w:rsidRPr="00F661BF">
        <w:rPr>
          <w:b/>
          <w:szCs w:val="24"/>
        </w:rPr>
        <w:t xml:space="preserve"> </w:t>
      </w:r>
      <w:r w:rsidRPr="00F661BF">
        <w:rPr>
          <w:kern w:val="1"/>
          <w:szCs w:val="24"/>
        </w:rPr>
        <w:t xml:space="preserve">un </w:t>
      </w:r>
      <w:r>
        <w:rPr>
          <w:kern w:val="1"/>
          <w:szCs w:val="24"/>
        </w:rPr>
        <w:t>izsaka šādus</w:t>
      </w:r>
      <w:r w:rsidRPr="00F661BF">
        <w:rPr>
          <w:kern w:val="1"/>
          <w:szCs w:val="24"/>
        </w:rPr>
        <w:t xml:space="preserve"> iebildum</w:t>
      </w:r>
      <w:r>
        <w:rPr>
          <w:kern w:val="1"/>
          <w:szCs w:val="24"/>
        </w:rPr>
        <w:t>us un priekšlikumu</w:t>
      </w:r>
      <w:r w:rsidRPr="00F661BF">
        <w:rPr>
          <w:kern w:val="1"/>
          <w:szCs w:val="24"/>
        </w:rPr>
        <w:t>.</w:t>
      </w:r>
    </w:p>
    <w:p w14:paraId="13751D97" w14:textId="77777777" w:rsidR="00D92EA5" w:rsidRDefault="00D92EA5" w:rsidP="00D92EA5">
      <w:pPr>
        <w:widowControl w:val="0"/>
        <w:tabs>
          <w:tab w:val="left" w:pos="993"/>
        </w:tabs>
        <w:suppressAutoHyphens/>
        <w:ind w:firstLine="709"/>
        <w:rPr>
          <w:kern w:val="1"/>
          <w:szCs w:val="24"/>
        </w:rPr>
      </w:pPr>
    </w:p>
    <w:p w14:paraId="0EFCEDAB" w14:textId="77777777" w:rsidR="00D92EA5" w:rsidRPr="00D57038" w:rsidRDefault="00D92EA5" w:rsidP="00D92EA5">
      <w:pPr>
        <w:widowControl w:val="0"/>
        <w:tabs>
          <w:tab w:val="left" w:pos="993"/>
        </w:tabs>
        <w:suppressAutoHyphens/>
        <w:ind w:firstLine="709"/>
        <w:rPr>
          <w:kern w:val="1"/>
          <w:szCs w:val="24"/>
          <w:u w:val="single"/>
        </w:rPr>
      </w:pPr>
      <w:r w:rsidRPr="00D57038">
        <w:rPr>
          <w:kern w:val="1"/>
          <w:szCs w:val="24"/>
          <w:u w:val="single"/>
        </w:rPr>
        <w:t>Iebildumi.</w:t>
      </w:r>
    </w:p>
    <w:p w14:paraId="18367B5C" w14:textId="77777777" w:rsidR="00D92EA5" w:rsidRPr="00D57038" w:rsidRDefault="00D92EA5" w:rsidP="00D92EA5">
      <w:pPr>
        <w:widowControl w:val="0"/>
        <w:numPr>
          <w:ilvl w:val="0"/>
          <w:numId w:val="1"/>
        </w:numPr>
        <w:tabs>
          <w:tab w:val="left" w:pos="993"/>
        </w:tabs>
        <w:suppressAutoHyphens/>
        <w:ind w:left="0" w:firstLine="709"/>
        <w:contextualSpacing/>
      </w:pPr>
      <w:r w:rsidRPr="00F661BF">
        <w:t>Lai sekmētu vienotu izpratni par to, kas ir “inovācija” Informatīvā ziņojuma ietvaros, lūdzam papildināt Informatīvo ziņojumu ar  jēdziena “inovācija” skaidrojumu, vai arī atsauci uz avotu, kuru izmantot, lai korekti lietotu šo jēdzienu. Vēršam uzmanību, ka Informatīvajā ziņojumā ir dota definīcija jēdzienam “pētniecība un attīstība”.</w:t>
      </w:r>
    </w:p>
    <w:p w14:paraId="7D2741C6" w14:textId="7145E4FA" w:rsidR="00D92EA5" w:rsidRPr="00D57038" w:rsidRDefault="00D92EA5" w:rsidP="00D92EA5">
      <w:pPr>
        <w:widowControl w:val="0"/>
        <w:numPr>
          <w:ilvl w:val="0"/>
          <w:numId w:val="1"/>
        </w:numPr>
        <w:tabs>
          <w:tab w:val="left" w:pos="993"/>
        </w:tabs>
        <w:suppressAutoHyphens/>
        <w:ind w:left="0" w:firstLine="709"/>
        <w:contextualSpacing/>
        <w:rPr>
          <w:szCs w:val="24"/>
        </w:rPr>
      </w:pPr>
      <w:r w:rsidRPr="00F661BF">
        <w:rPr>
          <w:szCs w:val="24"/>
        </w:rPr>
        <w:t xml:space="preserve">Informatīvajā ziņojumā (8.lpp.) minēts, ka iniciatīvas grupā veiktā valsts kapitālsabiedrību (turpmāk </w:t>
      </w:r>
      <w:r>
        <w:rPr>
          <w:szCs w:val="24"/>
        </w:rPr>
        <w:t>–</w:t>
      </w:r>
      <w:r w:rsidRPr="00F661BF">
        <w:rPr>
          <w:szCs w:val="24"/>
        </w:rPr>
        <w:t xml:space="preserve"> VKS)</w:t>
      </w:r>
      <w:r w:rsidRPr="00F661BF">
        <w:rPr>
          <w:i/>
          <w:iCs/>
          <w:szCs w:val="24"/>
        </w:rPr>
        <w:t xml:space="preserve"> </w:t>
      </w:r>
      <w:r w:rsidRPr="00F661BF">
        <w:rPr>
          <w:szCs w:val="24"/>
        </w:rPr>
        <w:t xml:space="preserve">aptauja izkristalizējusi VKS identificētos šķēršļus pētniecības un inovāciju risinājumu attīstībai, un no identificētajiem iemesliem uz nepilnībām vai trūkumiem VKS pārvaldības sistēmā. Lūdzam Informatīvajā ziņojumā precizēt, vai aptaujātas visas VKS, vai arī tikai astoņas kapitālsabiedrības – iniciatīvas grupas dalībnieces. </w:t>
      </w:r>
      <w:r w:rsidR="009B1CB7">
        <w:rPr>
          <w:szCs w:val="24"/>
        </w:rPr>
        <w:t>M</w:t>
      </w:r>
      <w:r w:rsidR="00040175">
        <w:rPr>
          <w:szCs w:val="24"/>
        </w:rPr>
        <w:t>ūsu</w:t>
      </w:r>
      <w:r w:rsidRPr="00F661BF">
        <w:rPr>
          <w:szCs w:val="24"/>
        </w:rPr>
        <w:t xml:space="preserve"> ieskatā respondentu loks ir būtisks, lai iegūtu pilnīgu priekšstatu par iespējam</w:t>
      </w:r>
      <w:r w:rsidR="00040175">
        <w:rPr>
          <w:szCs w:val="24"/>
        </w:rPr>
        <w:t>aj</w:t>
      </w:r>
      <w:r w:rsidRPr="00F661BF">
        <w:rPr>
          <w:szCs w:val="24"/>
        </w:rPr>
        <w:t>iem ierobežojumiem pētniecības un inovācijas risinājumu attīstībai visās VKS un citu publisku personu kapitālsabiedrībās, jo Valsts pārvaldes iekārtas likuma 88.panta nosacījumi attiecas uz visām publiskas personas kapitālsabiedrībām.</w:t>
      </w:r>
    </w:p>
    <w:p w14:paraId="66134276" w14:textId="216E4076" w:rsidR="00D92EA5" w:rsidRPr="00D57038" w:rsidRDefault="00D92EA5" w:rsidP="00D92EA5">
      <w:pPr>
        <w:widowControl w:val="0"/>
        <w:numPr>
          <w:ilvl w:val="0"/>
          <w:numId w:val="1"/>
        </w:numPr>
        <w:tabs>
          <w:tab w:val="left" w:pos="993"/>
        </w:tabs>
        <w:suppressAutoHyphens/>
        <w:ind w:left="0" w:firstLine="709"/>
        <w:contextualSpacing/>
        <w:rPr>
          <w:szCs w:val="24"/>
          <w:u w:val="single"/>
        </w:rPr>
      </w:pPr>
      <w:r w:rsidRPr="00F661BF">
        <w:rPr>
          <w:kern w:val="1"/>
          <w:szCs w:val="24"/>
        </w:rPr>
        <w:t xml:space="preserve">Kā viens no  </w:t>
      </w:r>
      <w:r w:rsidRPr="00F661BF">
        <w:rPr>
          <w:bCs/>
          <w:kern w:val="1"/>
          <w:szCs w:val="24"/>
        </w:rPr>
        <w:t xml:space="preserve">identificētajiem iemesliem uz nepilnībām vai trūkumiem VKS pārvaldības sistēmā </w:t>
      </w:r>
      <w:r w:rsidRPr="00F661BF">
        <w:rPr>
          <w:kern w:val="1"/>
          <w:szCs w:val="24"/>
        </w:rPr>
        <w:t xml:space="preserve">ir norādīts </w:t>
      </w:r>
      <w:r w:rsidRPr="00F661BF">
        <w:rPr>
          <w:kern w:val="1"/>
          <w:szCs w:val="24"/>
          <w:u w:val="single"/>
        </w:rPr>
        <w:t>nepilnvērtīgs regulējums sadarbībai ar Latvijas jaunuzņēmumu ekosistēmas dalībniekiem</w:t>
      </w:r>
      <w:r w:rsidRPr="00F661BF">
        <w:rPr>
          <w:kern w:val="1"/>
          <w:szCs w:val="24"/>
        </w:rPr>
        <w:t xml:space="preserve">. Informatīvajā ziņojumā tiek norādīts, ka ārvalstu VKS Latvijā pašas veido jaunuzņēmumus, iegādājas jaunuzņēmumus, investē to kapitāldaļās, veido akseleratorus, kopīgi ar tiem strādā pie produktu attīstīšanas, veido tiem koprades telpas, nodrošina bezmaksas rīkus, u.c. citas formas ar jaunuzņēmumu ekosistēmas dalībniekiem (visas pasaules mērogā), Latvijā </w:t>
      </w:r>
      <w:r>
        <w:rPr>
          <w:kern w:val="1"/>
          <w:szCs w:val="24"/>
        </w:rPr>
        <w:t>VKS</w:t>
      </w:r>
      <w:r w:rsidRPr="00F661BF">
        <w:rPr>
          <w:kern w:val="1"/>
          <w:szCs w:val="24"/>
        </w:rPr>
        <w:t xml:space="preserve"> reālas iespējas lēmumu pieņemšanai un to operatīvai saskaņošanai ar atbilstošām institūcijām ir ierobežotas. </w:t>
      </w:r>
      <w:r w:rsidRPr="00F661BF">
        <w:rPr>
          <w:kern w:val="1"/>
          <w:szCs w:val="24"/>
          <w:u w:val="single"/>
        </w:rPr>
        <w:t xml:space="preserve">PKC Informatīvajā ziņojumā secina, ka šādu sadarbību izveide, Latvijā varētu tikt interpretēta kā kapitālsabiedrības līdzekļu izšķērdēšana (resursu nelietderīga izmantošana vai izmantošana, kas ir neatbilstoša VKS dibināšanas pamatojumam, pat, ja šī darbība palielinātu </w:t>
      </w:r>
      <w:r w:rsidRPr="00F661BF">
        <w:rPr>
          <w:kern w:val="1"/>
          <w:szCs w:val="24"/>
          <w:u w:val="single"/>
        </w:rPr>
        <w:lastRenderedPageBreak/>
        <w:t>peļņu). Lai nodrošinātu tiesisko skaidrību, lūdzam Informatīvajā ziņojumā skaidrot, uz kāda pamata un kādos gadījumos darbības  P&amp;A jomā var tikt interpretētas kā līdzekļu izšķērdēšana</w:t>
      </w:r>
      <w:r w:rsidRPr="00F661BF">
        <w:rPr>
          <w:kern w:val="1"/>
          <w:szCs w:val="24"/>
        </w:rPr>
        <w:t>. Ja šeit ir domāts Publiskas personas finanšu līdzekļu un mantas izšķērdēšanas novēršanas likums (turpmāk – Izšķērdēšanas likums), vēršam uzmanību, ka Informatīvajā ziņojumā Izšķērdēšanas likums nav apskatīts no interpretācijas viedokļa kopsakarā ar minēto.</w:t>
      </w:r>
      <w:r w:rsidRPr="00F661BF">
        <w:rPr>
          <w:szCs w:val="24"/>
        </w:rPr>
        <w:t xml:space="preserve"> </w:t>
      </w:r>
      <w:r w:rsidRPr="00F661BF">
        <w:rPr>
          <w:kern w:val="1"/>
          <w:szCs w:val="24"/>
        </w:rPr>
        <w:t xml:space="preserve">Vienlaikus VKS savā darbībā ir saistošs Izšķērdēšanas likumā noteiktais. Izšķērdēšanas likuma 3.pantā noteikts kapitālsabiedrībai pienākums lietderīgi rīkoties ar finanšu līdzekļiem un mantu, </w:t>
      </w:r>
      <w:r w:rsidRPr="00F661BF">
        <w:rPr>
          <w:kern w:val="1"/>
          <w:szCs w:val="24"/>
          <w:u w:val="single"/>
        </w:rPr>
        <w:t>tas ir</w:t>
      </w:r>
      <w:r w:rsidR="009B1CB7">
        <w:rPr>
          <w:kern w:val="1"/>
          <w:szCs w:val="24"/>
          <w:u w:val="single"/>
        </w:rPr>
        <w:t>,</w:t>
      </w:r>
      <w:r w:rsidRPr="00F661BF">
        <w:rPr>
          <w:kern w:val="1"/>
          <w:szCs w:val="24"/>
          <w:u w:val="single"/>
        </w:rPr>
        <w:t xml:space="preserve">  rīcībai jābūt tādai, lai mērķi sasniegtu ar mazāko finanšu līdzekļu un mantas izlietojumu.</w:t>
      </w:r>
      <w:r w:rsidRPr="00F661BF">
        <w:rPr>
          <w:kern w:val="1"/>
          <w:szCs w:val="24"/>
        </w:rPr>
        <w:t xml:space="preserve">  Savukārt k</w:t>
      </w:r>
      <w:r w:rsidRPr="00F661BF">
        <w:rPr>
          <w:szCs w:val="24"/>
        </w:rPr>
        <w:t>ā izriet no Informatīvā ziņojuma</w:t>
      </w:r>
      <w:r w:rsidRPr="00F661BF">
        <w:rPr>
          <w:kern w:val="1"/>
          <w:szCs w:val="24"/>
        </w:rPr>
        <w:t xml:space="preserve"> mērķa</w:t>
      </w:r>
      <w:r w:rsidRPr="00F661BF">
        <w:rPr>
          <w:szCs w:val="24"/>
        </w:rPr>
        <w:t>, kā arī praks</w:t>
      </w:r>
      <w:r w:rsidRPr="00F661BF">
        <w:rPr>
          <w:kern w:val="1"/>
          <w:szCs w:val="24"/>
        </w:rPr>
        <w:t>e</w:t>
      </w:r>
      <w:r w:rsidRPr="00F661BF">
        <w:rPr>
          <w:szCs w:val="24"/>
        </w:rPr>
        <w:t xml:space="preserve"> ir pierādījusi, ka radīt kādu inovatīvu produktu vai pakalpojumu prasa vairāk līdzekļu nekā šo pašu mērķi sasniegt, iepērkot jau tirgū esošu produktu vai pakalpojumu.  </w:t>
      </w:r>
      <w:r w:rsidRPr="00F661BF">
        <w:rPr>
          <w:szCs w:val="24"/>
          <w:u w:val="single"/>
        </w:rPr>
        <w:t xml:space="preserve">Līdz ar to aicinām Informatīvajā ziņojumā skaidrot, kā šajā gadījumā </w:t>
      </w:r>
      <w:r w:rsidRPr="00F661BF">
        <w:rPr>
          <w:kern w:val="1"/>
          <w:szCs w:val="24"/>
          <w:u w:val="single"/>
        </w:rPr>
        <w:t xml:space="preserve">VKS </w:t>
      </w:r>
      <w:r w:rsidRPr="00F661BF">
        <w:rPr>
          <w:szCs w:val="24"/>
          <w:u w:val="single"/>
        </w:rPr>
        <w:t>varēs izpildīt Izšķērdēšanas likuma 3.panta 1.apakšpunkta prasības</w:t>
      </w:r>
      <w:r>
        <w:rPr>
          <w:szCs w:val="24"/>
          <w:u w:val="single"/>
        </w:rPr>
        <w:t>,</w:t>
      </w:r>
      <w:r w:rsidRPr="00F661BF">
        <w:rPr>
          <w:kern w:val="1"/>
          <w:szCs w:val="24"/>
          <w:u w:val="single"/>
        </w:rPr>
        <w:t xml:space="preserve"> un vai šāda rīcība netiks uzskatīta kā līdzekļu izšķērdēšana.</w:t>
      </w:r>
    </w:p>
    <w:p w14:paraId="0BE99AB0" w14:textId="77777777" w:rsidR="00D92EA5" w:rsidRPr="00D57038" w:rsidRDefault="00D92EA5" w:rsidP="00D92EA5">
      <w:pPr>
        <w:widowControl w:val="0"/>
        <w:numPr>
          <w:ilvl w:val="0"/>
          <w:numId w:val="1"/>
        </w:numPr>
        <w:tabs>
          <w:tab w:val="left" w:pos="993"/>
        </w:tabs>
        <w:suppressAutoHyphens/>
        <w:ind w:left="0" w:firstLine="709"/>
        <w:contextualSpacing/>
        <w:rPr>
          <w:szCs w:val="24"/>
        </w:rPr>
      </w:pPr>
      <w:r w:rsidRPr="00F661BF">
        <w:rPr>
          <w:szCs w:val="24"/>
        </w:rPr>
        <w:t>Informatīvajā ziņojumā (14.lpp.) ir norādīts, ka “</w:t>
      </w:r>
      <w:r w:rsidRPr="00F661BF">
        <w:rPr>
          <w:i/>
          <w:iCs/>
          <w:szCs w:val="24"/>
        </w:rPr>
        <w:t>Privātā sektora uzņēmumos, visticamāk, šo mērķu īstenošanai nav pietiekamas finansiālās kapacitātes, savukārt attiecībā uz VKS ir vērojama vilcināšanās Ziņojuma 2.3. punktā norādīto iemeslu dēļ</w:t>
      </w:r>
      <w:r w:rsidRPr="00F661BF">
        <w:rPr>
          <w:szCs w:val="24"/>
        </w:rPr>
        <w:t xml:space="preserve">”. Lūdzam pārskatīt argumenta </w:t>
      </w:r>
      <w:r w:rsidRPr="00F661BF">
        <w:rPr>
          <w:szCs w:val="24"/>
          <w:u w:val="single"/>
        </w:rPr>
        <w:t>“visticamāk”</w:t>
      </w:r>
      <w:r w:rsidRPr="00F661BF">
        <w:rPr>
          <w:szCs w:val="24"/>
        </w:rPr>
        <w:t xml:space="preserve"> lietojumu un aizvietot to ar  statistikas datos vai pētījumos balstītu pamatojumu un pievienot atsauci uz izmantoto faktu avotu.</w:t>
      </w:r>
    </w:p>
    <w:p w14:paraId="1BE0020B" w14:textId="77777777" w:rsidR="00D92EA5" w:rsidRPr="00D57038" w:rsidRDefault="00D92EA5" w:rsidP="00D92EA5">
      <w:pPr>
        <w:widowControl w:val="0"/>
        <w:numPr>
          <w:ilvl w:val="0"/>
          <w:numId w:val="1"/>
        </w:numPr>
        <w:tabs>
          <w:tab w:val="left" w:pos="993"/>
        </w:tabs>
        <w:suppressAutoHyphens/>
        <w:ind w:left="0" w:firstLine="709"/>
        <w:contextualSpacing/>
        <w:rPr>
          <w:szCs w:val="24"/>
        </w:rPr>
      </w:pPr>
      <w:r w:rsidRPr="00F661BF">
        <w:rPr>
          <w:szCs w:val="24"/>
        </w:rPr>
        <w:t xml:space="preserve">Informatīvajā ziņojumā (15.lpp.) minēts, ka </w:t>
      </w:r>
      <w:r w:rsidRPr="00F661BF">
        <w:rPr>
          <w:i/>
          <w:iCs/>
          <w:szCs w:val="24"/>
        </w:rPr>
        <w:t>“Esošā situācija norāda uz to, ka VKS lielākoties nav izvirzīti P&amp;A mērķi vai dots skaidrs norādījums par nepieciešamību ieguldīt P&amp;A aktivitātēs</w:t>
      </w:r>
      <w:r w:rsidRPr="00F661BF">
        <w:rPr>
          <w:szCs w:val="24"/>
        </w:rPr>
        <w:t xml:space="preserve">.”, taču atsauce uz plānošanas dokumentos noteikto pienākumu  vidēja termiņa darbības stratēģijās noteikt sasniedzamos P&amp;A mērķus ir iekļauta Informatīvā ziņojuma 4.lpp. Turklāt uzdevumu izpilde noteikta laika periodam 2021. – 2027, respektīvi visām vidēja termiņa darbības stratēģijām, kuras vēl tikai taps šajā laika posmā. </w:t>
      </w:r>
      <w:r w:rsidRPr="00F661BF">
        <w:rPr>
          <w:szCs w:val="24"/>
          <w:u w:val="single"/>
        </w:rPr>
        <w:t>Lūdzam Informatīvajā ziņojumā izskaidrot jaunā pārvaldības instrumenta “akcionāra gaidu vēstule” un Nacionālās industriālās politikas pamatnostādnēs 2021. – 2027.gadam iekļautā uzdevuma mijiedarbību praksē.</w:t>
      </w:r>
    </w:p>
    <w:p w14:paraId="7BBB2AFF" w14:textId="65BE8A5E" w:rsidR="00D92EA5" w:rsidRPr="00B8429C" w:rsidRDefault="00D92EA5" w:rsidP="00D92EA5">
      <w:pPr>
        <w:widowControl w:val="0"/>
        <w:numPr>
          <w:ilvl w:val="0"/>
          <w:numId w:val="1"/>
        </w:numPr>
        <w:tabs>
          <w:tab w:val="left" w:pos="993"/>
        </w:tabs>
        <w:suppressAutoHyphens/>
        <w:ind w:left="0" w:firstLine="709"/>
        <w:contextualSpacing/>
        <w:rPr>
          <w:kern w:val="1"/>
          <w:szCs w:val="24"/>
        </w:rPr>
      </w:pPr>
      <w:r w:rsidRPr="00F661BF">
        <w:rPr>
          <w:szCs w:val="24"/>
        </w:rPr>
        <w:t xml:space="preserve">Lai nodrošinātu tiesisko skaidrību, </w:t>
      </w:r>
      <w:r w:rsidRPr="00F661BF">
        <w:rPr>
          <w:szCs w:val="24"/>
          <w:u w:val="single"/>
        </w:rPr>
        <w:t xml:space="preserve">lūdzam skaidrot, </w:t>
      </w:r>
      <w:r w:rsidRPr="00F661BF">
        <w:rPr>
          <w:kern w:val="1"/>
          <w:szCs w:val="24"/>
          <w:u w:val="single"/>
        </w:rPr>
        <w:t>vai Ministru kabineta sēdes protokollēmuma projekta 2.punktā minētais mērķis jāievieš arī VKS, kuras nepiedalās vienā tirgū ar privātpersonām</w:t>
      </w:r>
      <w:r w:rsidRPr="00F661BF">
        <w:rPr>
          <w:kern w:val="1"/>
          <w:szCs w:val="24"/>
        </w:rPr>
        <w:t xml:space="preserve">. Piemēram, </w:t>
      </w:r>
      <w:r>
        <w:rPr>
          <w:kern w:val="1"/>
          <w:szCs w:val="24"/>
        </w:rPr>
        <w:t>VAS “Valsts nekustamie īpašumi”</w:t>
      </w:r>
      <w:r w:rsidRPr="00F661BF">
        <w:rPr>
          <w:kern w:val="1"/>
          <w:szCs w:val="24"/>
        </w:rPr>
        <w:t xml:space="preserve">, attiecībā uz apsaimniekošanas pakalpojumiem nekonkurē ar citiem, jo savu </w:t>
      </w:r>
      <w:r w:rsidRPr="00B8429C">
        <w:rPr>
          <w:kern w:val="1"/>
          <w:szCs w:val="24"/>
        </w:rPr>
        <w:t xml:space="preserve">pakalpojumu ekskluzīvi piedāvā tikai valsts pārvaldes iestādēm. </w:t>
      </w:r>
    </w:p>
    <w:p w14:paraId="566D7205" w14:textId="77777777" w:rsidR="00D92EA5" w:rsidRPr="00B8429C" w:rsidRDefault="00D92EA5" w:rsidP="00D92EA5">
      <w:pPr>
        <w:pStyle w:val="ListParagraph"/>
        <w:numPr>
          <w:ilvl w:val="0"/>
          <w:numId w:val="1"/>
        </w:numPr>
        <w:tabs>
          <w:tab w:val="left" w:pos="993"/>
        </w:tabs>
        <w:spacing w:after="0" w:line="240" w:lineRule="auto"/>
        <w:ind w:left="0" w:firstLine="709"/>
        <w:jc w:val="both"/>
        <w:rPr>
          <w:rFonts w:ascii="Times New Roman" w:eastAsiaTheme="minorHAnsi" w:hAnsi="Times New Roman"/>
          <w:sz w:val="24"/>
          <w:szCs w:val="24"/>
        </w:rPr>
      </w:pPr>
      <w:r w:rsidRPr="00B8429C">
        <w:rPr>
          <w:rFonts w:ascii="Times New Roman" w:hAnsi="Times New Roman"/>
          <w:sz w:val="24"/>
          <w:szCs w:val="24"/>
        </w:rPr>
        <w:t xml:space="preserve">Lūdzam skaidrot, kāda Eiropas Savienības fondu (turpmāk – ES fondi) pasākuma ietvaros tiek plānots </w:t>
      </w:r>
      <w:r>
        <w:rPr>
          <w:rFonts w:ascii="Times New Roman" w:hAnsi="Times New Roman"/>
          <w:sz w:val="24"/>
          <w:szCs w:val="24"/>
        </w:rPr>
        <w:t>Informatīvā ziņojumā</w:t>
      </w:r>
      <w:r w:rsidRPr="00B8429C">
        <w:rPr>
          <w:rFonts w:ascii="Times New Roman" w:hAnsi="Times New Roman"/>
          <w:sz w:val="24"/>
          <w:szCs w:val="24"/>
        </w:rPr>
        <w:t xml:space="preserve"> minētais Nacionālā attīstības plāna 2021.-2027.gadam uzdevums Nr.142, ņemot vērā to, ka ES fondi tiek norādīti kā viens no uzdevuma finanšu resursu avotiem.</w:t>
      </w:r>
    </w:p>
    <w:p w14:paraId="3FBC0D8C" w14:textId="7D1F0CF6" w:rsidR="00D92EA5" w:rsidRDefault="00D92EA5" w:rsidP="00D92EA5">
      <w:pPr>
        <w:pStyle w:val="ListParagraph"/>
        <w:numPr>
          <w:ilvl w:val="0"/>
          <w:numId w:val="1"/>
        </w:numPr>
        <w:tabs>
          <w:tab w:val="left" w:pos="993"/>
        </w:tabs>
        <w:spacing w:after="0" w:line="240" w:lineRule="auto"/>
        <w:ind w:left="0" w:firstLine="709"/>
        <w:jc w:val="both"/>
        <w:rPr>
          <w:rFonts w:ascii="Times New Roman" w:eastAsiaTheme="minorHAnsi" w:hAnsi="Times New Roman"/>
          <w:sz w:val="24"/>
          <w:szCs w:val="24"/>
        </w:rPr>
      </w:pPr>
      <w:r>
        <w:rPr>
          <w:rFonts w:ascii="Times New Roman" w:eastAsiaTheme="minorHAnsi" w:hAnsi="Times New Roman"/>
          <w:sz w:val="24"/>
          <w:szCs w:val="24"/>
        </w:rPr>
        <w:t>Lūdz</w:t>
      </w:r>
      <w:r w:rsidR="00040175">
        <w:rPr>
          <w:rFonts w:ascii="Times New Roman" w:eastAsiaTheme="minorHAnsi" w:hAnsi="Times New Roman"/>
          <w:sz w:val="24"/>
          <w:szCs w:val="24"/>
        </w:rPr>
        <w:t>am</w:t>
      </w:r>
      <w:r>
        <w:rPr>
          <w:rFonts w:ascii="Times New Roman" w:eastAsiaTheme="minorHAnsi" w:hAnsi="Times New Roman"/>
          <w:sz w:val="24"/>
          <w:szCs w:val="24"/>
        </w:rPr>
        <w:t xml:space="preserve"> Informatīvā ziņojuma 23.lpp. </w:t>
      </w:r>
      <w:r w:rsidRPr="002D1BC6">
        <w:rPr>
          <w:rFonts w:ascii="Times New Roman" w:eastAsiaTheme="minorHAnsi" w:hAnsi="Times New Roman"/>
          <w:sz w:val="24"/>
          <w:szCs w:val="24"/>
        </w:rPr>
        <w:t>3.4.3.</w:t>
      </w:r>
      <w:r>
        <w:rPr>
          <w:rFonts w:ascii="Times New Roman" w:eastAsiaTheme="minorHAnsi" w:hAnsi="Times New Roman"/>
          <w:sz w:val="24"/>
          <w:szCs w:val="24"/>
        </w:rPr>
        <w:t>punktu “</w:t>
      </w:r>
      <w:r w:rsidRPr="002D1BC6">
        <w:rPr>
          <w:rFonts w:ascii="Times New Roman" w:eastAsiaTheme="minorHAnsi" w:hAnsi="Times New Roman"/>
          <w:sz w:val="24"/>
          <w:szCs w:val="24"/>
        </w:rPr>
        <w:t>Gada pārskatu un konsolidēto gada pārskatu likums</w:t>
      </w:r>
      <w:r>
        <w:rPr>
          <w:rFonts w:ascii="Times New Roman" w:eastAsiaTheme="minorHAnsi" w:hAnsi="Times New Roman"/>
          <w:sz w:val="24"/>
          <w:szCs w:val="24"/>
        </w:rPr>
        <w:t xml:space="preserve">” izteikt šādā redakcijā: </w:t>
      </w:r>
    </w:p>
    <w:p w14:paraId="2C6084A2" w14:textId="77777777" w:rsidR="00D92EA5" w:rsidRPr="002D1BC6" w:rsidRDefault="00D92EA5" w:rsidP="00D92EA5">
      <w:pPr>
        <w:tabs>
          <w:tab w:val="left" w:pos="993"/>
        </w:tabs>
        <w:ind w:firstLine="709"/>
        <w:rPr>
          <w:rFonts w:eastAsiaTheme="minorHAnsi"/>
          <w:i/>
          <w:iCs/>
          <w:szCs w:val="24"/>
        </w:rPr>
      </w:pPr>
      <w:r w:rsidRPr="002D1BC6">
        <w:rPr>
          <w:rFonts w:eastAsiaTheme="minorHAnsi"/>
          <w:i/>
          <w:iCs/>
          <w:szCs w:val="24"/>
        </w:rPr>
        <w:t>“Nodrošinot sabiedrības informētību un darbības caurskatāmību, ir svarīgi nodalīt naudas plūsmas, kas saistītas ar inovatīvajām darbības jomām, kas šobrīd normatīvajā regulējumā nav noteikts kā obligāts pienākums gada pārskatā atsevišķi uzrādīt P&amp;A izdevumus. Šobrīd uzņēmumiem,  saskaņā ar Gada pārskatu un konsolidēto gada pārskatu likumu,  Vadības ziņojumā ir jāsniedz ziņas par pasākumiem pētniecības un attīstības jomā.</w:t>
      </w:r>
    </w:p>
    <w:p w14:paraId="0DCD0D5A" w14:textId="77777777" w:rsidR="00D92EA5" w:rsidRDefault="00D92EA5" w:rsidP="00D92EA5">
      <w:pPr>
        <w:tabs>
          <w:tab w:val="left" w:pos="993"/>
        </w:tabs>
        <w:ind w:firstLine="709"/>
        <w:rPr>
          <w:rFonts w:eastAsiaTheme="minorHAnsi"/>
          <w:i/>
          <w:iCs/>
          <w:szCs w:val="24"/>
        </w:rPr>
      </w:pPr>
      <w:r w:rsidRPr="002D1BC6">
        <w:rPr>
          <w:rFonts w:eastAsiaTheme="minorHAnsi"/>
          <w:i/>
          <w:iCs/>
          <w:szCs w:val="24"/>
        </w:rPr>
        <w:tab/>
        <w:t>Šobrīd kopīgi ar Finanšu ministriju tiek izskatītas iespējas veikt grozījumus Gada pārskatu un konsolidēto gada pārskatu likumā vai citādi noregulēt, lai paredzētu, ka lielās un vidējās kapitālsabiedrības savos gada pārskatos norāda P&amp;A izdevumu un kapitālieguldījumu apjomu. Tādējādi tiktu veicināta informācijas ieguve statistikas vajadzībām un salīdzināšanas vajadzībām ar citām kapitālsabiedrībām, kas gada pārskatu sagatavo pēc Starptautiskajiem grāmatvedības standartiem, un  savos gada pārskatos uzrāda  P&amp;A  izdevumu kopējo summu.”.</w:t>
      </w:r>
    </w:p>
    <w:p w14:paraId="0E85E8A6" w14:textId="7D39AB2A" w:rsidR="00D92EA5" w:rsidRPr="00EE7474" w:rsidRDefault="00D92EA5" w:rsidP="00D92EA5">
      <w:pPr>
        <w:tabs>
          <w:tab w:val="left" w:pos="993"/>
        </w:tabs>
        <w:ind w:firstLine="709"/>
        <w:rPr>
          <w:rFonts w:eastAsiaTheme="minorHAnsi"/>
          <w:szCs w:val="24"/>
        </w:rPr>
      </w:pPr>
      <w:r>
        <w:rPr>
          <w:rFonts w:eastAsiaTheme="minorHAnsi"/>
          <w:szCs w:val="24"/>
        </w:rPr>
        <w:t>Vēršam uzmanību, ka</w:t>
      </w:r>
      <w:r w:rsidR="00040175">
        <w:rPr>
          <w:rFonts w:eastAsiaTheme="minorHAnsi"/>
          <w:szCs w:val="24"/>
        </w:rPr>
        <w:t>,</w:t>
      </w:r>
      <w:r>
        <w:rPr>
          <w:rFonts w:eastAsiaTheme="minorHAnsi"/>
          <w:szCs w:val="24"/>
        </w:rPr>
        <w:t xml:space="preserve"> rakstot </w:t>
      </w:r>
      <w:r w:rsidRPr="002D1BC6">
        <w:rPr>
          <w:rFonts w:eastAsiaTheme="minorHAnsi"/>
          <w:szCs w:val="24"/>
        </w:rPr>
        <w:t>par ārvalstu kapitālsabiedrībām, būtu jāmin konkrētas valsti</w:t>
      </w:r>
      <w:r>
        <w:rPr>
          <w:rFonts w:eastAsiaTheme="minorHAnsi"/>
          <w:szCs w:val="24"/>
        </w:rPr>
        <w:t>s</w:t>
      </w:r>
      <w:r w:rsidRPr="002D1BC6">
        <w:rPr>
          <w:rFonts w:eastAsiaTheme="minorHAnsi"/>
          <w:szCs w:val="24"/>
        </w:rPr>
        <w:t xml:space="preserve"> un piemēri  kā tiek uzrādīti P&amp;A izdevumi, jo </w:t>
      </w:r>
      <w:r>
        <w:rPr>
          <w:rFonts w:eastAsiaTheme="minorHAnsi"/>
          <w:szCs w:val="24"/>
        </w:rPr>
        <w:t>Finanšu ministrijas</w:t>
      </w:r>
      <w:r w:rsidRPr="002D1BC6">
        <w:rPr>
          <w:rFonts w:eastAsiaTheme="minorHAnsi"/>
          <w:szCs w:val="24"/>
        </w:rPr>
        <w:t xml:space="preserve"> rīcībā nav informācijas, kā citās </w:t>
      </w:r>
      <w:r w:rsidRPr="00EE7474">
        <w:rPr>
          <w:rFonts w:eastAsiaTheme="minorHAnsi"/>
          <w:szCs w:val="24"/>
        </w:rPr>
        <w:t>valstīs tiek uzrādītas P&amp;A izmaksas gada pārskatā.</w:t>
      </w:r>
    </w:p>
    <w:p w14:paraId="423AEF90" w14:textId="77777777" w:rsidR="00D92EA5" w:rsidRDefault="00D92EA5" w:rsidP="00D92EA5">
      <w:pPr>
        <w:ind w:firstLine="709"/>
        <w:rPr>
          <w:b/>
          <w:bCs/>
          <w:szCs w:val="24"/>
          <w:u w:val="single"/>
        </w:rPr>
      </w:pPr>
    </w:p>
    <w:p w14:paraId="721B2597" w14:textId="77777777" w:rsidR="00D92EA5" w:rsidRDefault="00D92EA5" w:rsidP="00D92EA5">
      <w:pPr>
        <w:ind w:firstLine="709"/>
        <w:rPr>
          <w:szCs w:val="24"/>
          <w:u w:val="single"/>
        </w:rPr>
      </w:pPr>
    </w:p>
    <w:p w14:paraId="6A05372F" w14:textId="023CD099" w:rsidR="00D92EA5" w:rsidRPr="00D57038" w:rsidRDefault="00D92EA5" w:rsidP="00D92EA5">
      <w:pPr>
        <w:ind w:firstLine="709"/>
        <w:rPr>
          <w:rFonts w:eastAsiaTheme="minorHAnsi"/>
          <w:szCs w:val="24"/>
          <w:u w:val="single"/>
        </w:rPr>
      </w:pPr>
      <w:r w:rsidRPr="00D57038">
        <w:rPr>
          <w:szCs w:val="24"/>
          <w:u w:val="single"/>
        </w:rPr>
        <w:t>Priekšlikums.</w:t>
      </w:r>
    </w:p>
    <w:p w14:paraId="6522F80A" w14:textId="77777777" w:rsidR="00D92EA5" w:rsidRDefault="00D92EA5" w:rsidP="00D92EA5">
      <w:pPr>
        <w:ind w:firstLine="709"/>
        <w:rPr>
          <w:szCs w:val="24"/>
        </w:rPr>
      </w:pPr>
      <w:r w:rsidRPr="00EE7474">
        <w:rPr>
          <w:szCs w:val="24"/>
        </w:rPr>
        <w:t>Lūdzam Informatīvā ziņojuma 14.lpp. ietverto 19.atsauci mainīt uz Padomes ieteikumu (2020.gada 20.jūlijs) par Latvijas 2020. gada valsts reformu programmu un ar ko sniedz Padomes atzinumu par Latvijas 2020. gada stabilitātes programmu (</w:t>
      </w:r>
      <w:hyperlink r:id="rId8" w:history="1">
        <w:r w:rsidRPr="00EE7474">
          <w:rPr>
            <w:rStyle w:val="Hyperlink"/>
            <w:szCs w:val="24"/>
          </w:rPr>
          <w:t>https://eur-lex.europa.eu/legal-content/EN/TXT/?uri=CELEX%3A32020H0826%2814%29</w:t>
        </w:r>
      </w:hyperlink>
      <w:r w:rsidRPr="00EE7474">
        <w:rPr>
          <w:szCs w:val="24"/>
        </w:rPr>
        <w:t>), kas ir 19.atsaucē norādīto Eiropas Komisijas ieteikumu “gala/rezultāta” dokuments.</w:t>
      </w:r>
    </w:p>
    <w:p w14:paraId="09927C0A" w14:textId="77777777" w:rsidR="00D92EA5" w:rsidRDefault="00D92EA5" w:rsidP="00D92EA5">
      <w:pPr>
        <w:ind w:firstLine="709"/>
        <w:rPr>
          <w:szCs w:val="24"/>
        </w:rPr>
      </w:pPr>
    </w:p>
    <w:p w14:paraId="53AD4E65" w14:textId="77777777" w:rsidR="00D92EA5" w:rsidRDefault="00D92EA5" w:rsidP="00D92EA5">
      <w:pPr>
        <w:ind w:firstLine="709"/>
        <w:rPr>
          <w:szCs w:val="24"/>
        </w:rPr>
      </w:pPr>
    </w:p>
    <w:p w14:paraId="3AA54C76" w14:textId="77777777" w:rsidR="00D92EA5" w:rsidRDefault="00D92EA5" w:rsidP="00D92EA5">
      <w:pPr>
        <w:ind w:firstLine="709"/>
        <w:rPr>
          <w:szCs w:val="24"/>
        </w:rPr>
      </w:pPr>
      <w:r>
        <w:rPr>
          <w:szCs w:val="24"/>
        </w:rPr>
        <w:t xml:space="preserve">Vienlaikus informējam, ka </w:t>
      </w:r>
      <w:r w:rsidRPr="00EE7474">
        <w:rPr>
          <w:szCs w:val="24"/>
        </w:rPr>
        <w:t>VAS “Latvijas Loto”</w:t>
      </w:r>
      <w:r>
        <w:rPr>
          <w:szCs w:val="24"/>
        </w:rPr>
        <w:t xml:space="preserve"> par Informatīvo ziņojumu </w:t>
      </w:r>
      <w:r w:rsidRPr="00EE7474">
        <w:rPr>
          <w:szCs w:val="24"/>
        </w:rPr>
        <w:t xml:space="preserve">savas kompetences ietvaros ir sniegusi viedokli un uztur to iepriekšējā redakcijā atbilstoši </w:t>
      </w:r>
      <w:r>
        <w:rPr>
          <w:szCs w:val="24"/>
        </w:rPr>
        <w:t>Pārresoru koordinācijas centram</w:t>
      </w:r>
      <w:r w:rsidRPr="00EE7474">
        <w:rPr>
          <w:szCs w:val="24"/>
        </w:rPr>
        <w:t xml:space="preserve"> 2021.gada 26.maijā iesniegtajā vēstulē Nr.2021-01/127</w:t>
      </w:r>
      <w:r>
        <w:rPr>
          <w:szCs w:val="24"/>
        </w:rPr>
        <w:t xml:space="preserve">. </w:t>
      </w:r>
    </w:p>
    <w:p w14:paraId="7273278D" w14:textId="167E11EA" w:rsidR="00D92EA5" w:rsidRDefault="00D92EA5" w:rsidP="00D92EA5">
      <w:pPr>
        <w:ind w:firstLine="720"/>
        <w:rPr>
          <w:szCs w:val="24"/>
        </w:rPr>
      </w:pPr>
    </w:p>
    <w:p w14:paraId="10326646" w14:textId="77777777" w:rsidR="00557B49" w:rsidRPr="00615936" w:rsidRDefault="00557B49" w:rsidP="007F3771">
      <w:pPr>
        <w:rPr>
          <w:szCs w:val="24"/>
        </w:rPr>
      </w:pPr>
    </w:p>
    <w:p w14:paraId="788A4559"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738C3BB5" w14:textId="77777777" w:rsidTr="00AA6DC1">
        <w:tc>
          <w:tcPr>
            <w:tcW w:w="4395" w:type="dxa"/>
          </w:tcPr>
          <w:p w14:paraId="6B9350D4" w14:textId="2A47A296" w:rsidR="00AA6DC1" w:rsidRPr="00615936" w:rsidRDefault="008F2596" w:rsidP="007F3771">
            <w:pPr>
              <w:rPr>
                <w:szCs w:val="24"/>
              </w:rPr>
            </w:pPr>
            <w:r>
              <w:rPr>
                <w:szCs w:val="24"/>
              </w:rPr>
              <w:t>Administrācijas vadītāja</w:t>
            </w:r>
          </w:p>
        </w:tc>
        <w:tc>
          <w:tcPr>
            <w:tcW w:w="1984" w:type="dxa"/>
          </w:tcPr>
          <w:p w14:paraId="0D90CBA1" w14:textId="77777777" w:rsidR="00AA6DC1" w:rsidRDefault="00AA6DC1" w:rsidP="00AA6DC1">
            <w:pPr>
              <w:jc w:val="center"/>
              <w:rPr>
                <w:szCs w:val="24"/>
              </w:rPr>
            </w:pPr>
            <w:bookmarkStart w:id="6" w:name="edoc_info2"/>
            <w:r>
              <w:rPr>
                <w:szCs w:val="24"/>
              </w:rPr>
              <w:t>(paraksts*)</w:t>
            </w:r>
            <w:bookmarkEnd w:id="6"/>
          </w:p>
        </w:tc>
        <w:tc>
          <w:tcPr>
            <w:tcW w:w="2977" w:type="dxa"/>
            <w:vAlign w:val="bottom"/>
          </w:tcPr>
          <w:p w14:paraId="06E0A7A6" w14:textId="7BBAFEB6" w:rsidR="00AA6DC1" w:rsidRPr="00615936" w:rsidRDefault="008F2596" w:rsidP="00483407">
            <w:pPr>
              <w:jc w:val="right"/>
              <w:rPr>
                <w:szCs w:val="24"/>
              </w:rPr>
            </w:pPr>
            <w:r>
              <w:rPr>
                <w:szCs w:val="24"/>
              </w:rPr>
              <w:t>I.Braunfelde</w:t>
            </w:r>
          </w:p>
        </w:tc>
      </w:tr>
      <w:tr w:rsidR="00AA6DC1" w:rsidRPr="00615936" w14:paraId="3E99F3BE" w14:textId="77777777" w:rsidTr="00AA6DC1">
        <w:tc>
          <w:tcPr>
            <w:tcW w:w="4395" w:type="dxa"/>
          </w:tcPr>
          <w:p w14:paraId="65DB75A1" w14:textId="77777777" w:rsidR="00AA6DC1" w:rsidRPr="00615936" w:rsidRDefault="00AA6DC1" w:rsidP="007F3771">
            <w:pPr>
              <w:rPr>
                <w:szCs w:val="24"/>
              </w:rPr>
            </w:pPr>
          </w:p>
        </w:tc>
        <w:tc>
          <w:tcPr>
            <w:tcW w:w="1984" w:type="dxa"/>
          </w:tcPr>
          <w:p w14:paraId="2F3C8A77" w14:textId="77777777" w:rsidR="00AA6DC1" w:rsidRPr="00615936" w:rsidRDefault="00AA6DC1" w:rsidP="000C0DD4">
            <w:pPr>
              <w:jc w:val="right"/>
              <w:rPr>
                <w:szCs w:val="24"/>
              </w:rPr>
            </w:pPr>
          </w:p>
        </w:tc>
        <w:tc>
          <w:tcPr>
            <w:tcW w:w="2977" w:type="dxa"/>
            <w:vAlign w:val="bottom"/>
          </w:tcPr>
          <w:p w14:paraId="4098BD10"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35BDBAD0" w14:textId="77777777" w:rsidTr="00AA6DC1">
        <w:trPr>
          <w:cantSplit/>
          <w:trHeight w:val="615"/>
        </w:trPr>
        <w:tc>
          <w:tcPr>
            <w:tcW w:w="8647" w:type="dxa"/>
          </w:tcPr>
          <w:p w14:paraId="33288D33" w14:textId="77777777"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14:paraId="4AB49CDF" w14:textId="77777777" w:rsidR="00826D51" w:rsidRDefault="00826D51" w:rsidP="007F3771">
      <w:pPr>
        <w:rPr>
          <w:sz w:val="20"/>
        </w:rPr>
      </w:pPr>
    </w:p>
    <w:p w14:paraId="5D22A9B7" w14:textId="1B848481" w:rsidR="008F2596" w:rsidRPr="00D92EA5" w:rsidRDefault="008F2596" w:rsidP="00D92EA5">
      <w:pPr>
        <w:ind w:left="142"/>
        <w:rPr>
          <w:sz w:val="20"/>
        </w:rPr>
      </w:pPr>
      <w:r w:rsidRPr="00D92EA5">
        <w:rPr>
          <w:sz w:val="20"/>
        </w:rPr>
        <w:t xml:space="preserve">Āboliņa 67083963 </w:t>
      </w:r>
    </w:p>
    <w:p w14:paraId="0DF2F2A7" w14:textId="7CEC4530" w:rsidR="000C0DD4" w:rsidRPr="00D92EA5" w:rsidRDefault="00D92EA5" w:rsidP="00D92EA5">
      <w:pPr>
        <w:ind w:left="142"/>
        <w:rPr>
          <w:sz w:val="20"/>
        </w:rPr>
      </w:pPr>
      <w:r w:rsidRPr="00D92EA5">
        <w:rPr>
          <w:sz w:val="20"/>
        </w:rPr>
        <w:t>ilze.abolina</w:t>
      </w:r>
      <w:r w:rsidR="008F2596" w:rsidRPr="00D92EA5">
        <w:rPr>
          <w:sz w:val="20"/>
        </w:rPr>
        <w:t>@fm.gov.lv</w:t>
      </w:r>
    </w:p>
    <w:p w14:paraId="1DDDAA26" w14:textId="77777777" w:rsidR="00D92EA5" w:rsidRPr="00D92EA5" w:rsidRDefault="00D92EA5" w:rsidP="00D92EA5">
      <w:pPr>
        <w:tabs>
          <w:tab w:val="left" w:pos="993"/>
        </w:tabs>
        <w:ind w:left="142"/>
        <w:rPr>
          <w:rFonts w:eastAsiaTheme="minorHAnsi"/>
          <w:sz w:val="20"/>
        </w:rPr>
      </w:pPr>
    </w:p>
    <w:p w14:paraId="75611F3E" w14:textId="46073734" w:rsidR="00D92EA5" w:rsidRPr="00D92EA5" w:rsidRDefault="00D92EA5" w:rsidP="00D92EA5">
      <w:pPr>
        <w:tabs>
          <w:tab w:val="left" w:pos="993"/>
        </w:tabs>
        <w:ind w:left="142"/>
        <w:rPr>
          <w:rFonts w:eastAsiaTheme="minorHAnsi"/>
          <w:sz w:val="20"/>
        </w:rPr>
      </w:pPr>
      <w:r w:rsidRPr="00D92EA5">
        <w:rPr>
          <w:rFonts w:eastAsiaTheme="minorHAnsi"/>
          <w:sz w:val="20"/>
        </w:rPr>
        <w:t>Naudiņa 67095631</w:t>
      </w:r>
    </w:p>
    <w:p w14:paraId="29F8778C" w14:textId="77777777" w:rsidR="00D92EA5" w:rsidRPr="00D92EA5" w:rsidRDefault="0040302C" w:rsidP="00D92EA5">
      <w:pPr>
        <w:tabs>
          <w:tab w:val="left" w:pos="993"/>
        </w:tabs>
        <w:ind w:left="142"/>
        <w:rPr>
          <w:rFonts w:eastAsiaTheme="minorHAnsi"/>
          <w:sz w:val="20"/>
        </w:rPr>
      </w:pPr>
      <w:hyperlink r:id="rId9" w:history="1">
        <w:r w:rsidR="00D92EA5" w:rsidRPr="00D92EA5">
          <w:rPr>
            <w:rStyle w:val="Hyperlink"/>
            <w:rFonts w:eastAsiaTheme="minorHAnsi"/>
            <w:color w:val="auto"/>
            <w:sz w:val="20"/>
            <w:u w:val="none"/>
          </w:rPr>
          <w:t>laura.naudina@fm.gov.lv</w:t>
        </w:r>
      </w:hyperlink>
    </w:p>
    <w:p w14:paraId="3C0F1099" w14:textId="77777777" w:rsidR="00D92EA5" w:rsidRPr="00D92EA5" w:rsidRDefault="00D92EA5" w:rsidP="00D92EA5">
      <w:pPr>
        <w:tabs>
          <w:tab w:val="left" w:pos="993"/>
        </w:tabs>
        <w:ind w:left="142"/>
        <w:rPr>
          <w:rFonts w:eastAsiaTheme="minorHAnsi"/>
          <w:sz w:val="20"/>
        </w:rPr>
      </w:pPr>
    </w:p>
    <w:p w14:paraId="28FC9626" w14:textId="77777777" w:rsidR="00D92EA5" w:rsidRPr="00D92EA5" w:rsidRDefault="00D92EA5" w:rsidP="00D92EA5">
      <w:pPr>
        <w:tabs>
          <w:tab w:val="left" w:pos="993"/>
        </w:tabs>
        <w:ind w:left="142"/>
        <w:rPr>
          <w:rFonts w:eastAsiaTheme="minorHAnsi"/>
          <w:sz w:val="20"/>
        </w:rPr>
      </w:pPr>
      <w:r w:rsidRPr="00D92EA5">
        <w:rPr>
          <w:rFonts w:eastAsiaTheme="minorHAnsi"/>
          <w:sz w:val="20"/>
        </w:rPr>
        <w:t>Priede 67083866</w:t>
      </w:r>
    </w:p>
    <w:p w14:paraId="7D18FE1A" w14:textId="77777777" w:rsidR="00D92EA5" w:rsidRPr="00D92EA5" w:rsidRDefault="0040302C" w:rsidP="00D92EA5">
      <w:pPr>
        <w:tabs>
          <w:tab w:val="left" w:pos="993"/>
        </w:tabs>
        <w:ind w:left="142"/>
        <w:rPr>
          <w:rFonts w:eastAsiaTheme="minorHAnsi"/>
          <w:sz w:val="20"/>
        </w:rPr>
      </w:pPr>
      <w:hyperlink r:id="rId10" w:history="1">
        <w:r w:rsidR="00D92EA5" w:rsidRPr="00D92EA5">
          <w:rPr>
            <w:rStyle w:val="Hyperlink"/>
            <w:rFonts w:eastAsiaTheme="minorHAnsi"/>
            <w:color w:val="auto"/>
            <w:sz w:val="20"/>
            <w:u w:val="none"/>
          </w:rPr>
          <w:t>arta.priede@fm.gov.lv</w:t>
        </w:r>
      </w:hyperlink>
      <w:r w:rsidR="00D92EA5" w:rsidRPr="00D92EA5">
        <w:rPr>
          <w:rFonts w:eastAsiaTheme="minorHAnsi"/>
          <w:sz w:val="20"/>
        </w:rPr>
        <w:t xml:space="preserve"> </w:t>
      </w:r>
    </w:p>
    <w:p w14:paraId="42D92488" w14:textId="77777777" w:rsidR="00D92EA5" w:rsidRPr="00D92EA5" w:rsidRDefault="00D92EA5" w:rsidP="00D92EA5">
      <w:pPr>
        <w:tabs>
          <w:tab w:val="left" w:pos="993"/>
        </w:tabs>
        <w:ind w:left="142"/>
        <w:rPr>
          <w:rFonts w:eastAsiaTheme="minorHAnsi"/>
          <w:sz w:val="20"/>
        </w:rPr>
      </w:pPr>
    </w:p>
    <w:p w14:paraId="1F5B3D44" w14:textId="77777777" w:rsidR="00D92EA5" w:rsidRPr="00D92EA5" w:rsidRDefault="00D92EA5" w:rsidP="00D92EA5">
      <w:pPr>
        <w:ind w:left="142"/>
        <w:rPr>
          <w:sz w:val="20"/>
        </w:rPr>
      </w:pPr>
      <w:r w:rsidRPr="00D92EA5">
        <w:rPr>
          <w:sz w:val="20"/>
        </w:rPr>
        <w:t>Šidlovskis 67083894</w:t>
      </w:r>
    </w:p>
    <w:p w14:paraId="0A4A149A" w14:textId="77777777" w:rsidR="00D92EA5" w:rsidRPr="00D92EA5" w:rsidRDefault="00D92EA5" w:rsidP="00D92EA5">
      <w:pPr>
        <w:ind w:left="142"/>
        <w:rPr>
          <w:sz w:val="20"/>
        </w:rPr>
      </w:pPr>
      <w:r w:rsidRPr="00D92EA5">
        <w:rPr>
          <w:sz w:val="20"/>
        </w:rPr>
        <w:t>edgars.sidlovskis@fm.gov.lv</w:t>
      </w:r>
    </w:p>
    <w:p w14:paraId="57050294" w14:textId="77777777" w:rsidR="00D92EA5" w:rsidRPr="00D92EA5" w:rsidRDefault="00D92EA5" w:rsidP="00D92EA5">
      <w:pPr>
        <w:ind w:left="142"/>
        <w:rPr>
          <w:sz w:val="20"/>
        </w:rPr>
      </w:pPr>
    </w:p>
    <w:p w14:paraId="7640CF2A" w14:textId="77777777" w:rsidR="00D92EA5" w:rsidRPr="00D92EA5" w:rsidRDefault="00D92EA5" w:rsidP="00D92EA5">
      <w:pPr>
        <w:ind w:left="142"/>
        <w:rPr>
          <w:sz w:val="20"/>
        </w:rPr>
      </w:pPr>
      <w:r w:rsidRPr="00D92EA5">
        <w:rPr>
          <w:sz w:val="20"/>
        </w:rPr>
        <w:t>Pentjuša 67095651</w:t>
      </w:r>
    </w:p>
    <w:p w14:paraId="2F587193" w14:textId="77777777" w:rsidR="00D92EA5" w:rsidRPr="00D92EA5" w:rsidRDefault="00D92EA5" w:rsidP="00D92EA5">
      <w:pPr>
        <w:ind w:left="142"/>
        <w:rPr>
          <w:sz w:val="20"/>
        </w:rPr>
      </w:pPr>
      <w:r w:rsidRPr="00D92EA5">
        <w:rPr>
          <w:sz w:val="20"/>
        </w:rPr>
        <w:t>elina.pentjusa@fm.gov.lv</w:t>
      </w:r>
    </w:p>
    <w:p w14:paraId="6F09DCDB" w14:textId="77777777" w:rsidR="00D92EA5" w:rsidRPr="00D92EA5" w:rsidRDefault="00D92EA5" w:rsidP="00D92EA5">
      <w:pPr>
        <w:ind w:left="142"/>
        <w:rPr>
          <w:sz w:val="20"/>
        </w:rPr>
      </w:pPr>
    </w:p>
    <w:p w14:paraId="686AB032" w14:textId="77777777" w:rsidR="00D92EA5" w:rsidRPr="00D92EA5" w:rsidRDefault="00D92EA5" w:rsidP="00D92EA5">
      <w:pPr>
        <w:ind w:left="142"/>
        <w:rPr>
          <w:sz w:val="20"/>
        </w:rPr>
      </w:pPr>
      <w:r w:rsidRPr="00D92EA5">
        <w:rPr>
          <w:sz w:val="20"/>
        </w:rPr>
        <w:t>Bružas 29264491</w:t>
      </w:r>
    </w:p>
    <w:p w14:paraId="5FF66B11" w14:textId="77777777" w:rsidR="00D92EA5" w:rsidRPr="00D92EA5" w:rsidRDefault="00D92EA5" w:rsidP="00D92EA5">
      <w:pPr>
        <w:ind w:left="142"/>
        <w:rPr>
          <w:sz w:val="20"/>
        </w:rPr>
      </w:pPr>
      <w:r w:rsidRPr="00D92EA5">
        <w:rPr>
          <w:sz w:val="20"/>
        </w:rPr>
        <w:t xml:space="preserve">Vita.Bruzas@vni.lv  </w:t>
      </w:r>
    </w:p>
    <w:p w14:paraId="0B766384" w14:textId="77777777" w:rsidR="00D92EA5" w:rsidRPr="00D92EA5" w:rsidRDefault="00D92EA5" w:rsidP="00D92EA5">
      <w:pPr>
        <w:ind w:left="142"/>
        <w:rPr>
          <w:sz w:val="20"/>
        </w:rPr>
      </w:pPr>
      <w:r w:rsidRPr="00D92EA5">
        <w:rPr>
          <w:sz w:val="20"/>
        </w:rPr>
        <w:tab/>
      </w:r>
    </w:p>
    <w:p w14:paraId="57D4677D" w14:textId="77777777" w:rsidR="00D92EA5" w:rsidRPr="00D92EA5" w:rsidRDefault="00D92EA5" w:rsidP="00D92EA5">
      <w:pPr>
        <w:ind w:left="142"/>
        <w:rPr>
          <w:sz w:val="20"/>
        </w:rPr>
      </w:pPr>
      <w:r w:rsidRPr="00D92EA5">
        <w:rPr>
          <w:sz w:val="20"/>
        </w:rPr>
        <w:t>Ozola 26252439</w:t>
      </w:r>
    </w:p>
    <w:p w14:paraId="0A930A85" w14:textId="77777777" w:rsidR="00D92EA5" w:rsidRPr="00D92EA5" w:rsidRDefault="00D92EA5" w:rsidP="00D92EA5">
      <w:pPr>
        <w:ind w:left="142"/>
        <w:rPr>
          <w:sz w:val="20"/>
        </w:rPr>
      </w:pPr>
      <w:r w:rsidRPr="00D92EA5">
        <w:rPr>
          <w:sz w:val="20"/>
        </w:rPr>
        <w:t>Sarmite.Ozola@vni.lv</w:t>
      </w:r>
    </w:p>
    <w:p w14:paraId="3C53A9C4" w14:textId="77777777" w:rsidR="000C0DD4" w:rsidRPr="00D92EA5" w:rsidRDefault="000C0DD4" w:rsidP="007F3771">
      <w:pPr>
        <w:rPr>
          <w:sz w:val="20"/>
        </w:rPr>
      </w:pPr>
    </w:p>
    <w:sectPr w:rsidR="000C0DD4" w:rsidRPr="00D92EA5" w:rsidSect="002C22B9">
      <w:headerReference w:type="even" r:id="rId11"/>
      <w:headerReference w:type="default" r:id="rId12"/>
      <w:footerReference w:type="even" r:id="rId13"/>
      <w:footerReference w:type="default" r:id="rId14"/>
      <w:headerReference w:type="first" r:id="rId15"/>
      <w:footerReference w:type="first" r:id="rId16"/>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6F70B6" w14:textId="77777777" w:rsidR="001F1A3D" w:rsidRDefault="001F1A3D">
      <w:r>
        <w:separator/>
      </w:r>
    </w:p>
  </w:endnote>
  <w:endnote w:type="continuationSeparator" w:id="0">
    <w:p w14:paraId="6D978BDB" w14:textId="77777777" w:rsidR="001F1A3D" w:rsidRDefault="001F1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33638"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14:paraId="5A9EEBDD"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1DCB7386"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08F6C" w14:textId="77777777" w:rsidR="0015384D" w:rsidRDefault="0015384D">
    <w:pPr>
      <w:pStyle w:val="Footer"/>
      <w:jc w:val="center"/>
    </w:pPr>
  </w:p>
  <w:p w14:paraId="771B1279"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3D96A1" w14:textId="77777777" w:rsidR="001F1A3D" w:rsidRDefault="001F1A3D">
      <w:r>
        <w:separator/>
      </w:r>
    </w:p>
  </w:footnote>
  <w:footnote w:type="continuationSeparator" w:id="0">
    <w:p w14:paraId="58270462" w14:textId="77777777" w:rsidR="001F1A3D" w:rsidRDefault="001F1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D890A0"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12313B7F"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E067A"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ED5990" w14:textId="77777777" w:rsidR="002C22B9" w:rsidRDefault="002C22B9">
    <w:pPr>
      <w:pStyle w:val="Header"/>
    </w:pPr>
  </w:p>
  <w:p w14:paraId="7891AC12" w14:textId="77777777" w:rsidR="002C22B9" w:rsidRDefault="002C22B9">
    <w:pPr>
      <w:pStyle w:val="Header"/>
    </w:pPr>
  </w:p>
  <w:p w14:paraId="078328AD" w14:textId="77777777" w:rsidR="002C22B9" w:rsidRDefault="002C22B9">
    <w:pPr>
      <w:pStyle w:val="Header"/>
    </w:pPr>
  </w:p>
  <w:p w14:paraId="4DBC2B52"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40708C78" wp14:editId="38C9B46E">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F311A"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708C78"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26CF311A"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2D1BBBD3" wp14:editId="1C015BA8">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D6C4A7" w14:textId="77777777" w:rsidR="002C22B9" w:rsidRDefault="002C22B9">
    <w:pPr>
      <w:pStyle w:val="Header"/>
    </w:pPr>
  </w:p>
  <w:p w14:paraId="384308AB" w14:textId="77777777" w:rsidR="002C22B9" w:rsidRDefault="002C22B9">
    <w:pPr>
      <w:pStyle w:val="Header"/>
    </w:pPr>
  </w:p>
  <w:p w14:paraId="7EB06554" w14:textId="77777777" w:rsidR="002C22B9" w:rsidRDefault="002C22B9">
    <w:pPr>
      <w:pStyle w:val="Header"/>
    </w:pPr>
  </w:p>
  <w:p w14:paraId="502C4638" w14:textId="77777777" w:rsidR="002C22B9" w:rsidRDefault="002C22B9">
    <w:pPr>
      <w:pStyle w:val="Header"/>
    </w:pPr>
  </w:p>
  <w:p w14:paraId="4D8EB22D" w14:textId="77777777" w:rsidR="002C22B9" w:rsidRDefault="002C22B9">
    <w:pPr>
      <w:pStyle w:val="Header"/>
    </w:pPr>
  </w:p>
  <w:p w14:paraId="76564E66" w14:textId="77777777" w:rsidR="002C22B9" w:rsidRDefault="002C22B9">
    <w:pPr>
      <w:pStyle w:val="Header"/>
    </w:pPr>
  </w:p>
  <w:p w14:paraId="680A8807"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7B25F2E0" wp14:editId="79E37A13">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771160D0" w14:textId="77777777" w:rsidR="002C22B9" w:rsidRDefault="002C22B9">
    <w:pPr>
      <w:pStyle w:val="Header"/>
    </w:pPr>
  </w:p>
  <w:p w14:paraId="70BBF775" w14:textId="77777777" w:rsidR="002C22B9" w:rsidRDefault="002C22B9">
    <w:pPr>
      <w:pStyle w:val="Header"/>
    </w:pPr>
  </w:p>
  <w:p w14:paraId="761132EB"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7270EB"/>
    <w:multiLevelType w:val="hybridMultilevel"/>
    <w:tmpl w:val="B93019F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40175"/>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1A3D"/>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302C"/>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09F9"/>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8F2596"/>
    <w:rsid w:val="00903B9C"/>
    <w:rsid w:val="00911470"/>
    <w:rsid w:val="00920076"/>
    <w:rsid w:val="009212D8"/>
    <w:rsid w:val="009328EF"/>
    <w:rsid w:val="00963ACC"/>
    <w:rsid w:val="00973529"/>
    <w:rsid w:val="009819D5"/>
    <w:rsid w:val="0098433C"/>
    <w:rsid w:val="00996DC8"/>
    <w:rsid w:val="009B1CB7"/>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92EA5"/>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843BA35"/>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92EA5"/>
    <w:pPr>
      <w:spacing w:after="200" w:line="276" w:lineRule="auto"/>
      <w:ind w:left="720"/>
      <w:contextualSpacing/>
      <w:jc w:val="left"/>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uri=CELEX%3A32020H0826%2814%29"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arta.priede@fm.gov.lv" TargetMode="External"/><Relationship Id="rId4" Type="http://schemas.openxmlformats.org/officeDocument/2006/relationships/settings" Target="settings.xml"/><Relationship Id="rId9" Type="http://schemas.openxmlformats.org/officeDocument/2006/relationships/hyperlink" Target="mailto:laura.naudina@fm.gov.lv"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5282</Words>
  <Characters>3012</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informatīvo ziņojumu "Par inovāciju veicināšan</dc:subject>
  <dc:creator>Āboliņa I.</dc:creator>
  <dc:description>Sagatavots ALS E-aprites vidē.</dc:description>
  <cp:lastModifiedBy>Ieva Braunfelde</cp:lastModifiedBy>
  <cp:revision>9</cp:revision>
  <cp:lastPrinted>2007-06-25T10:49:00Z</cp:lastPrinted>
  <dcterms:created xsi:type="dcterms:W3CDTF">2021-06-18T10:59:00Z</dcterms:created>
  <dcterms:modified xsi:type="dcterms:W3CDTF">2021-06-18T12:14:00Z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