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25-TA-2322: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Civilprocesa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16.10.2025. 10:18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Tieslietu ministriju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likumprojekta anotācijas 6.3.punktā atspoguļot gan anotācijas 6.1.apakšpunktā norādīto darba grupu darbu, gan publiskās apspriešanas norisi un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(SEPLP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2024/1069 par sabiedrības līdzdalībā iesaistījušos personu aizsardzību pret acīmredzami nepamatotām prasībām vai ļaunprātīgu tiesvedību ("stratēģiska tiesvedība pret sabiedrības līdzdalību") 12. pants nosaka, ka pienākums pierādīt prasības pamatotību ir prasītājam, kurš ceļ prasību. Dalībvalstis nodrošina, ka tad, ja atbildētājs ir iesniedzis pieteikumu par priekšlaicīgu noraidīšanu, prasītājam ir jāpamato prasība, lai tiesa varētu novērtēt, vai tā nav acīmredzami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250.</w:t>
            </w:r>
            <w:r w:rsidR="00000000" w:rsidRPr="00000000" w:rsidDel="00000000">
              <w:rPr>
                <w:vertAlign w:val="superscript"/>
                <w:rtl w:val="0"/>
              </w:rPr>
              <w:t xml:space="preserve">101</w:t>
            </w:r>
            <w:r w:rsidR="00000000" w:rsidRPr="00000000" w:rsidDel="00000000">
              <w:rPr>
                <w:rtl w:val="0"/>
              </w:rPr>
              <w:t xml:space="preserve"> pantu, nosakot prasītāja pienākumu pierādīt prasības pamatotību, ja atbildētājs ir iesniedzis motivētu pieteikumu par pirmšķietami saskatāmām ļaunprātīgos nolūkos celtas prasības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par šo jautājumu tika diskutēts ar tieslietu ministres rīkojumu izveidotajā darba grupā Civilprocesa likuma grozījumu izstrādei (turpmāk – CPL darba grupa), kurā tika secināts, ka prasītājam jau šobrīd, iesniedzot prasību, ir pienākums to pamatot, līdz ar to nebūtu objektīvas nepieciešamības viņam lūgt atkārtoti pamatot prasību, ja ir saņemts pieteikums par tiesvedības izbeigšanu. Drīzāk prasītājam jādot iespēja sniegt paskaidrojumus par pieteikumu. Kā norādīja eksperti – iespējams, Direktīvā šāda prasība ir ietverta, jo dažādās dalībvalstis ir atšķirīgi prasības iesniegšanas standarti. CPL 128. panta otrās daļas 5.,6. punkts jau šobrīd paredz, ka prasītājam sava prasība ir pienācīgi jāpamato. Papildus tam jānorāda, ka jaunā CPL 250.</w:t>
            </w:r>
            <w:r w:rsidR="00000000" w:rsidRPr="00000000" w:rsidDel="00000000">
              <w:rPr>
                <w:vertAlign w:val="superscript"/>
                <w:rtl w:val="0"/>
              </w:rPr>
              <w:t xml:space="preserve">101</w:t>
            </w:r>
            <w:r w:rsidR="00000000" w:rsidRPr="00000000" w:rsidDel="00000000">
              <w:rPr>
                <w:rtl w:val="0"/>
              </w:rPr>
              <w:t xml:space="preserve"> panta otrā daļa noteic, ka pēc pieteikuma par tiesvedības izbeigšanu saņemšanas, tiesnesis to nosūta prasītājam paskaidrojumu 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(SEPLP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2024/1069 par sabiedrības līdzdalībā iesaistījušos personu aizsardzību pret acīmredzami nepamatotām prasībām vai ļaunprātīgu tiesvedību ("stratēģiska tiesvedība pret sabiedrības līdzdalību") preambulas 38. punkts paredz, ja atbildētājs ir iesniedzis pieteikumu noraidīt prasību kā acīmredzami nepamatotu, tiesai minētais pieteikums būtu jāizskata paātrinātā veidā saskaņā ar valsts tiesību aktiem, lai paātrinātu novērtējumu par to, vai prasība ir acīmredzami nepamatota, ņemot vērā konkrētos lietas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250.</w:t>
            </w:r>
            <w:r w:rsidR="00000000" w:rsidRPr="00000000" w:rsidDel="00000000">
              <w:rPr>
                <w:vertAlign w:val="superscript"/>
                <w:rtl w:val="0"/>
              </w:rPr>
              <w:t xml:space="preserve">101</w:t>
            </w:r>
            <w:r w:rsidR="00000000" w:rsidRPr="00000000" w:rsidDel="00000000">
              <w:rPr>
                <w:rtl w:val="0"/>
              </w:rPr>
              <w:t xml:space="preserve"> panta otrajā daļā noteikt konkrētāku termiņu pieteikuma par tiesvedības izbeigšanu izskatīšanai, paredzot izskatīšanu iespējami īsākā termiņā, bet ne vēlāk kā ___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jaunā 250.</w:t>
            </w:r>
            <w:r w:rsidR="00000000" w:rsidRPr="00000000" w:rsidDel="00000000">
              <w:rPr>
                <w:vertAlign w:val="superscript"/>
                <w:rtl w:val="0"/>
              </w:rPr>
              <w:t xml:space="preserve">101</w:t>
            </w:r>
            <w:r w:rsidR="00000000" w:rsidRPr="00000000" w:rsidDel="00000000">
              <w:rPr>
                <w:rtl w:val="0"/>
              </w:rPr>
              <w:t xml:space="preserve"> panta otrā daļa paredz, ka tiesa pieteikumu par tiesvedības izbeigšanu izskata iespējami īsākā termiņā, kas atbilst Direktīvas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attiecīgo jautājumu tika diskutēts CPL darba grupā, kurā tika norādīts, ka būtu vēlams izvairīties no konkrētu termiņu (piemēram, dienu skaita) noteikšanas likumā, jo tas ierobežo tiesu. Turklāt nereti var būt situācijas, kad tiesa jau ir nozīmējusi lietas izskatīšanu pēc būtības, taču, ienākot šādam pieteikumam, var rastie situācija, ka tiesas sēde lietas izskatīšanai pēc būtības ir jāatceļ, un jāskata šāds pieteikums. Lai dotu tiesai lielāku rīcības brīvību, vienlaikus uzsverot, ka ar šādu pieteikumu izskatīšanu nedrīkst vilcināties, TM izšķīrās par labu likumprojektā ietvertajam formulējumam.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(SEPLP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2024/1069 par sabiedrības līdzdalībā iesaistījušos personu aizsardzību pret acīmredzami nepamatotām prasībām vai ļaunprātīgu tiesvedību ("stratēģiska tiesvedība pret sabiedrības līdzdalību") preambulas 35. punkts noteic, kal ai nodrošinātu efektīvāku aizsardzības līmeni, apvienībām, organizācijām, arodbiedrībām un citiem subjektiem, kam saskaņā ar attiecīgās valsts tiesību aktos noteiktajiem kritērijiem ir leģitīmas intereses aizsargāt vai veicināt sabiedrības līdzdalībā iesaistījušos personu tiesības, vajadzētu būt iespējai ar atbildētāja piekrišanu atbalstīt atbildētāju tiesvedībā, kas uzsākta saistībā ar sabiedrības līdzdalību. Nosacījumi, saskaņā ar kuriem NVO varētu atbalstīt atbildētāju, un procesuālās prasības attiecībā uz šādu atbalstu, piemēram, attiecīgā gadījumā termiņi, būtu jāreglamentē valsts tiesību aktos. Lūdzam papildināt likumprojekta 250.</w:t>
            </w:r>
            <w:r w:rsidR="00000000" w:rsidRPr="00000000" w:rsidDel="00000000">
              <w:rPr>
                <w:vertAlign w:val="superscript"/>
                <w:rtl w:val="0"/>
              </w:rPr>
              <w:t xml:space="preserve">100 </w:t>
            </w:r>
            <w:r w:rsidR="00000000" w:rsidRPr="00000000" w:rsidDel="00000000">
              <w:rPr>
                <w:rtl w:val="0"/>
              </w:rPr>
              <w:t xml:space="preserve">pantu ar konkrētu termiņu, kurā pieaicinātās personas sniedz informāciju tiesai. Tāpat būtu precizējams šo pieaicināmo personu iesaistes un atbalsta sniegšanas veids, nosakot, ka tās ir tiesīgas rakstveidā sniegt tiesai informāciju, viedokli vai ekspertīzi, kā arī piedalīties sēdē, sniedzot viedokli mutvārdos vai atbildot uz tiesas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Civilprocesa likuma 46.panta pirmā daļa noteic, ja procesuālie termiņi nav noteikti likumā, tos nosaka tiesa vai tiesnesis. Tiesas vai tiesneša noteiktā termiņa ilgumam jābūt tādam, lai procesuālo darbību varētu izpildīt.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nesaskata nepieciešamību noteikt konkrētu termiņu likumā, šādas termiņš būtu jānosaka pēc tiesas ieskatiem un ņemot vērā konkrētos lietas apstākļus un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Saistītajā likumprojektā "Sabiedrības interesēs iesaistīto personu aizsardzības likums" 5. pants noteic, ka biedrības un nodibinājumi, tostarp arodbiedrības un to apvienības, kā arī citi subjekti, ja tas saskan ar to darbības mērķiem, cita starpā var pēc tiesas pieprasījuma sniegt tādu informāciju minētajā tiesvedībā, kas varētu palīdzēt tiesai noskaidrot, vai saistībā ar personas darbošanos sabiedrības interesēs pret viņu ir celta acīmredzami nepamatota prasība vai tā celta ļaunprātīgos nolūkos.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CPL 250.</w:t>
            </w:r>
            <w:r w:rsidR="00000000" w:rsidRPr="00000000" w:rsidDel="00000000">
              <w:rPr>
                <w:vertAlign w:val="superscript"/>
                <w:rtl w:val="0"/>
              </w:rPr>
              <w:t xml:space="preserve">100</w:t>
            </w:r>
            <w:r w:rsidR="00000000" w:rsidRPr="00000000" w:rsidDel="00000000">
              <w:rPr>
                <w:rtl w:val="0"/>
              </w:rPr>
              <w:t xml:space="preserve"> pants konkrēti nenoteic kādā formā informācija sniedzama – informācija sniegšanas veids – rakstveida forma vai informācijas sniegšana mutvārdos tiesas sēdē, ir nosakāma pēc tiesas ieskata un ņemot vērā konkrēto situāciju.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gadījumos, ja ar likumprojektu varētu tikt skarts budžetā maksājamo summu apmērs, palielinot maksājumus vai paredzot izņēmumus (atvieglojumus vai atbrīvojumus) no spēkā esošās kārtības (piemēram, likumprojekts paredz atbrīvojumu prasītājiem noteiktās lietās/prasībās no tiesas izdevumu (kas sevī ietver arī valsts nodevu) samaksas), ar attiecīgu informāciju (par ietekmi uz budžetu) ir aizpildāma likumprojekta anotācijas III sadaļa. Ņemot vērā minēto, lūdzam izvērtēt likumprojektu no šāda aspekta un atspoguļot attiecīgu informāciju par ietekmi uz budžetu anotācijas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vispārējā principa tiesas izdevumus sedz puses  un tikai un vienīgi gadījumos, kad abas puses atbrīvotas no tiesas izdevumu samaksas, tiesas izdevumus uzņemas valsts (CPL 42. panta ceturtā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paši par sevi nerada ietekmi uz valsts budžeta ieņēmumiem,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tiesas izdevumus sedz puses un tikai izņēmuma gadījumos izdevumus uzņemas valsts (CPL 42.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prognozēts vērā ņemams šādu lietu skaits, kā arī netiek paredzēts, ka atbildētājs varētu tikt atbrīvots no tiesas izdevumu samaksas.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informācija atspoguļota likumprojekta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pantā ir iekļauts informācijas sniegšanas pienākums, proti, motivēta pieteikuma sagatavošana 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rada jebkurš pienākums ievērot tiesiskā regulējuma prasības, kas saistītas ar informācijas pieņemšanu, apstrādi vai uzglabāšanu, piemēram, atskaišu sniegšana, atļauju saņemšana, pārbaudes, revīzijas vai kontroles sistēmas ieviešana, kvalifikācijas prasību izpildīšana u.tml. (https://www.mk.gov.lv/lv/jaunums/nulles-birokratijas-princips-administrativa-sloga-pieauguma-apturesanai-0). Par administratīvām izmaksām ir uzskatāmas tādas izmaksas, kuras veidojas, pildot tiesību aktos noteiktās obligātās prasības sniegt informāciju valsts vai pašvaldības iestādēm vai trešajām personām par veicamajām darbībām, ražotiem produktiem vai notikumiem. Informācijas sniegšanas prasības šajā kontekstā ir jāuztver plaši, ieskaitot izmaksas, kas saistītas ar marķēšanu, atskaitēm, uzraudzību vai novērtējumu veikšanu, kas nepieciešams, lai sniegtu informāciju vai reģistrētos. Par administratīvo slogu tiek uzskatītas tikai tādas administratīvās izmaksas, kas veidojas un izriet no aktivitātēm, ko persona brīvprātīgi neveiktu (https://www.mk.gov.lv/lv/administrativa-sloga-un-normativisma-mazinasana).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administratīvo izmaksu un administratīvā sloga skaidrojuma izriet, ka tās ir tādas izmaksas, kuras rodas, kad personai ir jāsniedz valstij (plašākā nozīmē) kāda nepieciešama informācija vai jāizpilda kādas valsts noteiktas un valstij nepieciešamas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Civilprocess ir strīdu risināšanas kārtība, kurā viena puse ar tiesas starpniecību pierāda otrai pusei savu tiesību aizskārumu (pamatojot to ar pierādījumiem), lai panāktu šāda aizskāruma novēršanu un restitūciju no pretējās puses. Saskaņā ar Civilprocesa likuma 93.panta pirmo daļu katrai pusei jāpierāda tie fakti, uz kuriem tā pamato savus prasījumus vai iebildumus. Prasītājam jāpierāda savu prasījumu pamatotība. Atbildētājam jāpierāda savu iebildumu pamatotība.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Pierādījumi/informācija tiesā tiek iesniegti nevis tādēļ, ka valsts to ir noteikusi kā nepieciešamu kādiem saviem mērķiem vai vajadzībām, bet tādēļ, lai varētu izšķirt civiltiesisku strīdu divu privātpersonu starpā.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savu prasījumu jeb aizskarto tiesību vai interešu aizskāruma pierādīšana civilprocesā nav un nevar tikt uzskatīta par administratīvajām izmaksām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Tiesai iesniedzamie dokumenti un pierādījumi civilprocesā tiek sagatavoti un iesniegti nevis tādēļ, ka valsts būtu noteikusi šādu informācijas sniegšanu savām vajadzībām, bet gan lai nodrošinātu tiesību aizsardzību un civiltiesisko strīdu izšķiršanu starp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administratīvo izmaksu aprēķins būtu jāveic jebkurai procesuālai darbībai (prasības pieteikuma, apelācijas, blakus sūdzības sagatavošanai u.tml.), kas būtu pretrunā ar civilprocesa būtību (puses realizē savas procesuālās tiesības sacīkstes formā) un </w:t>
            </w:r>
            <w:r w:rsidR="00000000" w:rsidRPr="00000000" w:rsidDel="00000000">
              <w:rPr>
                <w:b w:val="1"/>
                <w:rtl w:val="0"/>
              </w:rPr>
              <w:t xml:space="preserve">tiesu varas nošķīrumu no izpildvaras.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novērojusi, ka Tieslietu ministrija nereti vienlaikus izsludina publisko apspriešanu un uzsāk saskaņošanas procesu. Valsts kanceleja jau vairākas reizes ir lūgusi Tieslietu ministriju šādu praksi neveidot, pamatojoties uz apsvērumu, ka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likumprojektam 16.10.2025. izsludināts saskaņošanas process, kurš noslēgsies 30.10.2025. un pēc būtības vienlaikus 15.10.2025. uzsākta publiskā apspriešana, kas noslēdzās 29.10.2025. Valsts kanceleja lūdz Tieslietu ministriju turpmāk nodrošināt korektu normatīvu aktu izstrādes procesa norisi atbilstoši Ministru kabineta 2021.gada 7.septembra noteikumos Nr.606 "Ministru kabineta kārtības rullis" un Ministru kabineta 2024.gada 15.oktobra noteikumos Nr. 639 "Sabiedrības līdzdalības kārtība attīstības plānošanas procesā"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25-TA-2322</w:t>
    </w:r>
    <w:r>
      <w:br/>
    </w:r>
    <w:r w:rsidR="00000000" w:rsidRPr="00000000" w:rsidDel="00000000">
      <w:rPr>
        <w:rtl w:val="0"/>
      </w:rPr>
      <w:t xml:space="preserve">14.11.2025. 14.24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25-TA-2322</w:t>
    </w:r>
    <w:r>
      <w:br/>
    </w:r>
    <w:r w:rsidR="00000000" w:rsidRPr="00000000" w:rsidDel="00000000">
      <w:rPr>
        <w:rtl w:val="0"/>
      </w:rPr>
      <w:t xml:space="preserve">14.11.2025. 14.24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Izziņa_25-TA-2322.docx</dc:title>
</cp:coreProperties>
</file>

<file path=docProps/custom.xml><?xml version="1.0" encoding="utf-8"?>
<Properties xmlns="http://schemas.openxmlformats.org/officeDocument/2006/custom-properties" xmlns:vt="http://schemas.openxmlformats.org/officeDocument/2006/docPropsVTypes"/>
</file>