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2.1.3. specifiskā atbalsta mērķa "Veicināt pielāgošanos klimata pārmaiņām, risku novēršanu un noturību pret katastrofām"  2.1.3.3. pasākuma "Katastrofu risku mazināšanas pasākumi" ceturtās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lielākajā daļā no noteikumu projekta anotācijā norādītajām pilsētām, kurās plānots būvēt jaunos katastrofu pārvaldības centrus, šobrīd jau atrodas Valsts ugunsdzēsības un glābšanas dienesta depo (turpmāk - depo), norādām, ka primāri jauno katastrofu pārvaldības centru uzturēšanai ir jānovirza Iekšlietu ministrijas budžetā depo, kurus plānots slēgt pēc jauno katastrofu pārvaldības centru nodošanas ekspluatācijā, uzturēšanai šobrīd esošais finansējums. Līdz ar to lūdzam noteikumu projekta anotācijas trešās sadaļas 6. punktā norādīt šobrīd depo uzturēšanai Iekšlietu ministrijas budžetā esošo finansējuma apmēru, kurš tiks novirzīts jauno katastrofu pārvaldības centru uzturēšanai pēc to nodošanas ekspluatācijā.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veikts izvērtējums un atbilstoši iebildumā norādītajam papildināts noteikumu projekta anotācijas trešās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rindkopu "Likumprojekta “Par valsts budžetu 2023. gadam un budžeta ietvaru 2023., 2024. un 2025. gadam” sagatavošanas procesā MK 2023. gada 13. janvāra sēdē (prot. Nr.2, 1.§) kā ārpus fiskālās telpas plānotajiem ar valsts drošību saistītiem pasākumiem kā valsts nozīmes prioritātēm ir atbalstīta finansējuma piešķiršana IeM pasākumam “VUGD depo – katastrofu pārvaldības centri” (turpmāk – Pasākums) 2023. – 2025. gadam 103 151 786 euro apmērā. Pasākums paredzēja vairāku katastrofu pārvaldības centru būvniecību atbilstoši noteiktajām prioritātēm, pārdalot finansējumu atbilstoši katastrofu pārvaldības centru projektēšanai un būvniecībai organizēto iepirkumu rezultātiem." papildināt ar papildus informāciju un izteikt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2023. gadam un budžeta ietvaru 2023., 2024. un 2025. gadam” sagatavošanas procesā MK 2023. gada 13. janvāra sēdē (prot. Nr.2, 1.§) kā ārpus fiskālās telpas plānotajiem ar valsts drošību saistītiem pasākumiem kā valsts nozīmes prioritātēm ir atbalstīta finansējuma piešķiršana IeM pasākumam “VUGD depo – katastrofu pārvaldības centri” (turpmāk – Pasākums) 2023. – 2025. gadam 103 151 786 euro apmērā, </w:t>
            </w:r>
            <w:r w:rsidR="00000000" w:rsidRPr="00000000" w:rsidDel="00000000">
              <w:rPr>
                <w:b w:val="1"/>
                <w:rtl w:val="0"/>
              </w:rPr>
              <w:t xml:space="preserve">atzīstot šos izdevumus par vienreizējiem pasākumiem likuma "Par valsts budžetu 2023. gadam un budžeta ietvaru 2023., 2024. un 2025. gadam" 5. panta 3. punkta un likuma "Par valsts budžetu 2024. gadam un budžeta ietvaru 2024., 2025. un 2026. gadam" 5. panta 3. punkta izpratnē</w:t>
            </w:r>
            <w:r w:rsidR="00000000" w:rsidRPr="00000000" w:rsidDel="00000000">
              <w:rPr>
                <w:rtl w:val="0"/>
              </w:rPr>
              <w:t xml:space="preserve">. </w:t>
            </w:r>
            <w:r w:rsidR="00000000" w:rsidRPr="00000000" w:rsidDel="00000000">
              <w:rPr>
                <w:b w:val="1"/>
                <w:rtl w:val="0"/>
              </w:rPr>
              <w:t xml:space="preserve"> Pasākums vienreizēju investīciju valsts aizsardzībai un iekšējai drošībai veidā </w:t>
            </w:r>
            <w:r w:rsidR="00000000" w:rsidRPr="00000000" w:rsidDel="00000000">
              <w:rPr>
                <w:rtl w:val="0"/>
              </w:rPr>
              <w:t xml:space="preserve">paredzēja vairāku katastrofu pārvaldības centru būvniecību atbilstoši noteiktajām prioritātēm, pārdalot finansējumu atbilstoši katastrofu pārvaldības centru projektēšanai un būvniecībai organizēto iepirkumu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anotācijas 3.sadaļu "Tiesību akta projekta ietekme uz valsts budžetu un pašvaldību budžetiem" "Cita informācija" rindkopu ar tekstu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Katastrofu pārvaldības centru projektēšanai, būvniecībai un saistīto 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Tukumā, Rīgā (Bolderajā), Kuldīgā, Preiļos, Siguldā, Aizkrauklē un Limbažos nepieciešamais finansējums 59 904 535 euro ir piešķirts no valsts budžeta līdzekļiem, to pārdalot no budžeta resora "74. Gadskārtējā valsts budžeta izpildes procesā pārdalāmais finansējums” programmas 18.00.00 "Finansējums valsts drošības stiprināšanas pasākumiem" (turpmāk – 18. programma), atzīstot šos izdevumus par vienreizējiem pasākumiem likuma "Par valsts budžetu 2023. gadam un budžeta ietvaru 2023., 2024. un 2025. gadam" 5. panta 3. punkta un likuma "Par valsts budžetu 2024. gadam un budžeta ietvaru 2024., 2025. un 2026. gadam" 5. panta 3. punkta izpratnē. Ar attiecīgo izdevumu attiecināšanu uz Ceturto kārtu, tie vairs netiek atzīti par vienreizējiem pasākumiem un netiek izslēgti no vispārējās valdības budžeta strukturālās bilances mērķa,</w:t>
            </w:r>
            <w:r w:rsidR="00000000" w:rsidRPr="00000000" w:rsidDel="00000000">
              <w:rPr>
                <w:b w:val="1"/>
                <w:rtl w:val="0"/>
              </w:rPr>
              <w:t xml:space="preserve"> vienlaicīgi attiecīgais finansējums ir uzskatāms par izmantotu, ņemot vērā tā piešķiršanas mērķi un vienreizējo raksturu,  un attiecīgi nav izmantojams citu pasākumu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piedāvātajām redakcijām.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2.1.3. specifiskā atbalsta mērķa "Veicināt pielāgošanos klimata pārmaiņām, risku novēršanu un noturību pret katastrofām"  2.1.3.3. pasākuma "Katastrofu risku mazināšanas pasākumi" ceturtās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protokollēmuma projektu ar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finansējums katastrofu pārvaldības centru projektēšanai, būvniecībai un saistīto pakalpojumu segšanai, kas attiecīgajā likumā par valsts budžetu kārtējam gadam un vidēja termiņa budžeta ietvaru bija plānots budžeta resora "74. Gadskārtējā valsts budžeta izpildes procesā pārdalāmais finansējums” programmā 18.00.00 "Finansējums valsts drošības stiprināšanas pasākumiem" un tiks attiecināts uz Programmas 2.1.3. specifiskā atbalsta mērķa "Veicināt pielāgošanos klimata pārmaiņām, risku novēršanu un noturību pret katastrofām"  2.1.3.3. pasākuma "Katastrofu risku mazināšanas pasākumi" ceturto kārtu, ir uzskatāms par izmantotu, ņemot vērā tā piešķiršanas mērķi un vienreizējo raksturu,  un attiecīgi nav izmantojams citu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2.1.3. specifiskā atbalsta mērķa "Veicināt pielāgošanos klimata pārmaiņām, risku novēršanu un noturību pret katastrofām"  2.1.3.3. pasākuma "Katastrofu risku mazināšanas pasākumi" ceturtās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ceturtās kārtas mērķis ir nodrošināt katastrofu pārvaldības centru projektēšanu, būvniecību un to atbilstošu aprīkošanu ar iebūvējamām mēbelēm, iekārtām un specializēto tehnoloģisko aprīkojumu, lai izveidotu fizisku infrastruktūru, kas nodrošinās efektīvu un ātru reaģēšanu uz dabas un cilvēka izraisītām katastrofām, katastrofas draudiem un dažāda mēroga apdraudējumu.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1.panta 12.punktu būvniecība ir visu veidu būvju projektēšana un būvdarbi. Lai novērstu dublēšanos, lūdzam precizēt noteikumu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visā tiesību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ceturtās kārtas mērķis ir nodrošināt katastrofu pārvaldības centru būvniecību, tai skaitā visu veidu būvju projektēšanu un būvdarbus (turpmāk – būvniecība), un to atbilstošu aprīkošanu ar iebūvējamām mēbelēm, iekārtām un specializēto tehnoloģisko aprīkojumu, lai izveidotu fizisku infrastruktūru, kas nodrošinās efektīvu un ātru reaģēšanu uz dabas un cilvēka izraisītām katastrofām, katastrofas draudiem un dažāda mēroga apdraudējumu.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ceturtās kārtas plānotais finansējums ir 106 424 959 </w:t>
            </w:r>
            <w:r w:rsidR="00000000" w:rsidRPr="00000000" w:rsidDel="00000000">
              <w:rPr>
                <w:i w:val="1"/>
                <w:rtl w:val="0"/>
              </w:rPr>
              <w:t xml:space="preserve">euro</w:t>
            </w:r>
            <w:r w:rsidR="00000000" w:rsidRPr="00000000" w:rsidDel="00000000">
              <w:rPr>
                <w:rtl w:val="0"/>
              </w:rPr>
              <w:t xml:space="preserve">, tai skaitā Eiropas Reģionālās attīstības fonda finansējums – 24 669 413 </w:t>
            </w:r>
            <w:r w:rsidR="00000000" w:rsidRPr="00000000" w:rsidDel="00000000">
              <w:rPr>
                <w:i w:val="1"/>
                <w:rtl w:val="0"/>
              </w:rPr>
              <w:t xml:space="preserve">euro</w:t>
            </w:r>
            <w:r w:rsidR="00000000" w:rsidRPr="00000000" w:rsidDel="00000000">
              <w:rPr>
                <w:rtl w:val="0"/>
              </w:rPr>
              <w:t xml:space="preserve"> un valsts budžeta līdzfinansējums 81 755 546 </w:t>
            </w:r>
            <w:r w:rsidR="00000000" w:rsidRPr="00000000" w:rsidDel="00000000">
              <w:rPr>
                <w:i w:val="1"/>
                <w:rtl w:val="0"/>
              </w:rPr>
              <w:t xml:space="preserve">euro</w:t>
            </w:r>
            <w:r w:rsidR="00000000" w:rsidRPr="00000000" w:rsidDel="00000000">
              <w:rPr>
                <w:rtl w:val="0"/>
              </w:rPr>
              <w:t xml:space="preserve">, tai skaitā nacionālais līdzfinansējums 4 343 426 </w:t>
            </w:r>
            <w:r w:rsidR="00000000" w:rsidRPr="00000000" w:rsidDel="00000000">
              <w:rPr>
                <w:i w:val="1"/>
                <w:rtl w:val="0"/>
              </w:rPr>
              <w:t xml:space="preserve">euro</w:t>
            </w:r>
            <w:r w:rsidR="00000000" w:rsidRPr="00000000" w:rsidDel="00000000">
              <w:rPr>
                <w:rtl w:val="0"/>
              </w:rPr>
              <w:t xml:space="preserve"> un nacionālais līdzfinansējums, kas pārsniedz pasākumam pieejamo Eiropas Reģionālās attīstības fonda finansējumu 77 412 120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 punktā noteikto finansējumu, kā arī, lai nodrošinātu viennozīmīgu šī punkta interpretāciju, ņemot vērā, ka nav plānots elastības finansējums, lūdzam to izteikt piedāvātajā redakcijā. Vienlaikus aicinām papildināt noteikumu projektu, nosakot, ka maksimālais attiecināmais Eiropas Reģionālās attīstības fonda finansējums projektā ir 85 procenti.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ceturtās kārtas </w:t>
            </w:r>
            <w:r w:rsidR="00000000" w:rsidRPr="00000000" w:rsidDel="00000000">
              <w:rPr>
                <w:u w:val="single"/>
                <w:rtl w:val="0"/>
              </w:rPr>
              <w:t xml:space="preserve">pieejamais</w:t>
            </w:r>
            <w:r w:rsidR="00000000" w:rsidRPr="00000000" w:rsidDel="00000000">
              <w:rPr>
                <w:rtl w:val="0"/>
              </w:rPr>
              <w:t xml:space="preserve"> finansējums ir 106 424 959 </w:t>
            </w:r>
            <w:r w:rsidR="00000000" w:rsidRPr="00000000" w:rsidDel="00000000">
              <w:rPr>
                <w:i w:val="1"/>
                <w:rtl w:val="0"/>
              </w:rPr>
              <w:t xml:space="preserve">euro</w:t>
            </w:r>
            <w:r w:rsidR="00000000" w:rsidRPr="00000000" w:rsidDel="00000000">
              <w:rPr>
                <w:rtl w:val="0"/>
              </w:rPr>
              <w:t xml:space="preserve">, tai skaitā Eiropas Reģionālās attīstības fonda finansējums – 24 669 413 </w:t>
            </w:r>
            <w:r w:rsidR="00000000" w:rsidRPr="00000000" w:rsidDel="00000000">
              <w:rPr>
                <w:i w:val="1"/>
                <w:rtl w:val="0"/>
              </w:rPr>
              <w:t xml:space="preserve">euro</w:t>
            </w:r>
            <w:r w:rsidR="00000000" w:rsidRPr="00000000" w:rsidDel="00000000">
              <w:rPr>
                <w:rtl w:val="0"/>
              </w:rPr>
              <w:t xml:space="preserve"> un </w:t>
            </w:r>
            <w:r w:rsidR="00000000" w:rsidRPr="00000000" w:rsidDel="00000000">
              <w:rPr>
                <w:u w:val="single"/>
                <w:rtl w:val="0"/>
              </w:rPr>
              <w:t xml:space="preserve">nacionālais</w:t>
            </w:r>
            <w:r w:rsidR="00000000" w:rsidRPr="00000000" w:rsidDel="00000000">
              <w:rPr>
                <w:rtl w:val="0"/>
              </w:rPr>
              <w:t xml:space="preserve"> līdzfinansējums 81 755 546 </w:t>
            </w:r>
            <w:r w:rsidR="00000000" w:rsidRPr="00000000" w:rsidDel="00000000">
              <w:rPr>
                <w:i w:val="1"/>
                <w:rtl w:val="0"/>
              </w:rPr>
              <w:t xml:space="preserve">euro</w:t>
            </w:r>
            <w:r w:rsidR="00000000" w:rsidRPr="00000000" w:rsidDel="00000000">
              <w:rPr>
                <w:rtl w:val="0"/>
              </w:rPr>
              <w:t xml:space="preserve">, tai skaitā </w:t>
            </w:r>
            <w:r w:rsidR="00000000" w:rsidRPr="00000000" w:rsidDel="00000000">
              <w:rPr>
                <w:u w:val="single"/>
                <w:rtl w:val="0"/>
              </w:rPr>
              <w:t xml:space="preserve">valsts budžeta</w:t>
            </w:r>
            <w:r w:rsidR="00000000" w:rsidRPr="00000000" w:rsidDel="00000000">
              <w:rPr>
                <w:rtl w:val="0"/>
              </w:rPr>
              <w:t xml:space="preserve"> līdzfinansējums 4 353 426 </w:t>
            </w:r>
            <w:r w:rsidR="00000000" w:rsidRPr="00000000" w:rsidDel="00000000">
              <w:rPr>
                <w:i w:val="1"/>
                <w:rtl w:val="0"/>
              </w:rPr>
              <w:t xml:space="preserve">euro</w:t>
            </w:r>
            <w:r w:rsidR="00000000" w:rsidRPr="00000000" w:rsidDel="00000000">
              <w:rPr>
                <w:rtl w:val="0"/>
              </w:rPr>
              <w:t xml:space="preserve"> un </w:t>
            </w:r>
            <w:r w:rsidR="00000000" w:rsidRPr="00000000" w:rsidDel="00000000">
              <w:rPr>
                <w:u w:val="single"/>
                <w:rtl w:val="0"/>
              </w:rPr>
              <w:t xml:space="preserve">valsts budžeta</w:t>
            </w:r>
            <w:r w:rsidR="00000000" w:rsidRPr="00000000" w:rsidDel="00000000">
              <w:rPr>
                <w:rtl w:val="0"/>
              </w:rPr>
              <w:t xml:space="preserve"> līdzfinansējums, kas pārsniedz pasākumam pieejamo Eiropas Reģionālās attīstības fonda finansējumu 77 402 120 </w:t>
            </w:r>
            <w:r w:rsidR="00000000" w:rsidRPr="00000000" w:rsidDel="00000000">
              <w:rPr>
                <w:i w:val="1"/>
                <w:rtl w:val="0"/>
              </w:rPr>
              <w:t xml:space="preserve">euro</w:t>
            </w:r>
            <w:r w:rsidR="00000000" w:rsidRPr="00000000" w:rsidDel="00000000">
              <w:rPr>
                <w:rtl w:val="0"/>
              </w:rPr>
              <w:t xml:space="preserve">. Maksimālais attiecināmais Eiropas Reģionālās attīstības fonda finansējuma apmērs  ir 85 procenti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ceturtās kārtas pieejamais finansējums ir 106 424 959 </w:t>
            </w:r>
            <w:r w:rsidR="00000000" w:rsidRPr="00000000" w:rsidDel="00000000">
              <w:rPr>
                <w:i w:val="1"/>
                <w:rtl w:val="0"/>
              </w:rPr>
              <w:t xml:space="preserve">euro</w:t>
            </w:r>
            <w:r w:rsidR="00000000" w:rsidRPr="00000000" w:rsidDel="00000000">
              <w:rPr>
                <w:rtl w:val="0"/>
              </w:rPr>
              <w:t xml:space="preserve">, tai skaitā Eiropas Reģionālās attīstības fonda finansējums – 24 669 413 </w:t>
            </w:r>
            <w:r w:rsidR="00000000" w:rsidRPr="00000000" w:rsidDel="00000000">
              <w:rPr>
                <w:i w:val="1"/>
                <w:rtl w:val="0"/>
              </w:rPr>
              <w:t xml:space="preserve">euro</w:t>
            </w:r>
            <w:r w:rsidR="00000000" w:rsidRPr="00000000" w:rsidDel="00000000">
              <w:rPr>
                <w:rtl w:val="0"/>
              </w:rPr>
              <w:t xml:space="preserve"> un nacionālais līdzfinansējums 81 755 546 </w:t>
            </w:r>
            <w:r w:rsidR="00000000" w:rsidRPr="00000000" w:rsidDel="00000000">
              <w:rPr>
                <w:i w:val="1"/>
                <w:rtl w:val="0"/>
              </w:rPr>
              <w:t xml:space="preserve">euro</w:t>
            </w:r>
            <w:r w:rsidR="00000000" w:rsidRPr="00000000" w:rsidDel="00000000">
              <w:rPr>
                <w:rtl w:val="0"/>
              </w:rPr>
              <w:t xml:space="preserve">, tai skaitā valsts budžeta līdzfinansējums 4 353 426 </w:t>
            </w:r>
            <w:r w:rsidR="00000000" w:rsidRPr="00000000" w:rsidDel="00000000">
              <w:rPr>
                <w:i w:val="1"/>
                <w:rtl w:val="0"/>
              </w:rPr>
              <w:t xml:space="preserve">euro</w:t>
            </w:r>
            <w:r w:rsidR="00000000" w:rsidRPr="00000000" w:rsidDel="00000000">
              <w:rPr>
                <w:rtl w:val="0"/>
              </w:rPr>
              <w:t xml:space="preserve"> un valsts budžeta līdzfinansējums, kas pārsniedz pasākumam pieejamo Eiropas Reģionālās attīstības fonda finansējumu 77 402 120</w:t>
            </w:r>
            <w:r w:rsidR="00000000" w:rsidRPr="00000000" w:rsidDel="00000000">
              <w:rPr>
                <w:i w:val="1"/>
                <w:rtl w:val="0"/>
              </w:rPr>
              <w:t xml:space="preserve"> euro</w:t>
            </w:r>
            <w:r w:rsidR="00000000" w:rsidRPr="00000000" w:rsidDel="00000000">
              <w:rPr>
                <w:rtl w:val="0"/>
              </w:rPr>
              <w:t xml:space="preserve">. Maksimālais attiecināmais Eiropas Reģionālās attīstības fonda finansējuma apmērs  ir 85 procenti no projektam plānotā kopējā attiecināmā finansējuma.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(HP VINPI) īstenošanu, aicinām noteikumu projektā paredzēt izmaksas HP VINPI darbību īstenošanai. Šādas izmaksas var rasties, piemēram, lai nodrošinātu vides piekļūstamības ekspertu konsultācijas vai nodrošinātu informācijas piekļūstamību (zīmju valodas tulku un vieglās valodas tulkošanas pakalpojumu izmaksas, subtitrēšanas un reāllaika transkripcijas pakalpojumu izmaksas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jau ir iekļautas būvniecības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atbalstāmās darbības un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10 katastrofu pārvaldības centru projektēšana, būvniecība, saistītie darbi un pakalpojumi, kā arī katastrofu pārvaldības centru aprīkošana ar iebūvējamām iekārtām, mēbelēm un specializēto tehnoloģisko aprīkojumu, lai nodrošinātu valsts drošības stiprināšanas pasākumu īstenošanu visā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1.panta 12.punktu būvniecība ir visu veidu būvju projektēšana un būvdarbi. Lai novērstu dublēšanos, lūdzam precizēt noteikumu projekta 12.1.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visā tiesību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10 katastrofu pārvaldības centru būvniecība, citi saistītie darbi un pakalpojumi, tostarp arī to aprīkošana ar iebūvējamām iekārtām, mēbelēm un specializēto tehnoloģisko aprīkojumu, lai nodrošinātu valsts drošības stiprināšanas pasākumu īstenošanu visā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10 katastrofu pārvaldības centru projektēšana, būvniecība, saistītie darbi un pakalpojumi, kā arī katastrofu pārvaldības centru aprīkošana ar iebūvējamām iekārtām, mēbelēm un specializēto tehnoloģisko aprīkojumu, lai nodrošinātu valsts drošības stiprināšanas pasākumu īstenošanu visā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12.1.apakšpunkta un 2.punkta redakciju salāgot ar attiecināmo izmaksu veidiem, jo 12.1.apakšpunktā un 2.punktā ir norādīta katastrofu pārvaldības centru aprīkošana ar iebūvējamām iekārtām, mēbelēm un aprīkojumu, savukārt, pie attiecināmo izmaksu veidiem šādas izmaksas netiek plānotas.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papildu izmaksu pozīciju: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izmaksas, kas saistītās ar iebūvējamo iekārtu, mēbeļu un aprīkojuma iegādi un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vismaz 10 katastrofu pārvaldības centru būvniecība, citi saistītie darbi un pakalpojumi, tostarp arī to aprīkošana ar iebūvējamām iekārtām, mēbelēm un specializēto tehnoloģisko aprīkojumu, lai nodrošinātu valsts drošības stiprināšanas pasākumu īstenošanu visā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projektu vadības nodrošināšana, tostarp projektu vadītāju, grāmatvežu, finansistu, juristu, projektu speciālistu būvniecības jomā, iepirkumu speciālistu un projektu koordinatoru iesaistes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iestādes vadlīnijās Nr 1.2 “Vadlīnijas attiecināmo izmaksu noteikšanai Eiropas Savienības kohēzijas politikas programmas 2021.-2027.gada plānošanas periodā” ierosinātie grozījumi, pašlaik ir saskaņošanas procesā un gala versija vēl nav apstiprināta, līdz ar to aicinām ņemt vērā, ka tajā vēl iespējamas izmaiņas, t.sk. tādas, kas ietekmētu arī šo MK noteikumu projektu un tajā ietvertos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iepriekšminēto, lūdzam attiecīgi precizēt MK noteikumus, izvērtējot izvēlēto vadlīniju redakciju, ņemot vērā, ka nosacījumi nav piemērojami izlases veidā, t.sk. par netiešajās izmaksās ietilpstošajām izmaksām (atbalsta personālu jāpārceļ uz netiešajām vai anotācijā argumentēti jāpamato, ka tie ir tieši vajadzīgi projekta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 MK noteikumu projekta un to anotācijas precizēšana un papildināšana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projekta īstenošanas, vadības un administrēšanas nodrošināšana, tostarp projektu vadītāju, būvprojektu vadošo ekspertu un projektu koordinatoru iesaistes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projekta īstenošanas, vadības un administrēšanas nodrošināšana, tostarp projektu vadītāju, grāmatvežu, finansistu, juristu, projektu speciālistu būvniecības jomā, iepirkumu speciālistu un projektu koordinatoru iesaistes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normatīvo regulējumu projektu speciālisti būvniecības jomā ir buvspeciālisti. Lūdzam precizēt noteikumu projekta 12.3.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vadības un administrēšanas nodrošināšana, tostarp projektu vadītāju, grāmatvežu, finansistu, juristu, būvspeciālistu, iepirkumu speciālistu un projektu koordinatoru iesaistes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12.3. apakšpunkts precizēts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projekta īstenošanas, vadības un administrēšanas nodrošināšana, tostarp projektu vadītāju, būvprojektu vadošo ekspertu un projektu koordinatoru iesaistes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pieslēguma izveidošanas efektīvai centralizētas siltumapgādes sistēmai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citu pieslēgumu iespējamu attiecināšanu, paredzot, piemēram, sekojošu punkta redakciju: ēkas funkcionalitātes nodrošināšanai nepieciešamās ūdenssaimniecības un siltumapgādes pieslēgumu un elektroenerģijas pieslēgumu būvniecība, pārbūve vai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apakšpunkts paplašināts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ēkas funkcionalitātes nodrošināšanai nepieciešamās ūdenssaimniecības un siltumapgādes pieslēgumu, tostarp pieslēguma izveidošanas efektīvai centralizētas siltumapgādes sistēmai, elektroenerģijas pieslēgumu būvniecības, pārbūves vai atjaunošanas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ar projekta darbībām tieši saistīto publicitātes un vizuālās identitātes pasākumu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20. punktā noteikto, ka īstenojot projektu, finansējuma saņēmējs nodrošina komunikācijas un vizuālās identitātes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kas nosaka kārtību, kādā Eiropas Savienības fondu vadībā iesaistītās institūcijas nodrošina šo fondu ieviešanu 2021.–2027. gada plānošanas periodā, kā arī noteikumu projekta 13.7. apakšpunktā minēto, ka ir attiecināmas ar projekta darbībām tieši saistīto publicitātes un vizuālās identitātes pasākumu izmaksas, aicinām papildināt noteikumu projekta 12. punktu ar attiecīgu atbalstāmo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salāgotu noteikumu projekta 13.7. apakšpunktā lietoto terminoloģiju ar noteikumu projekta 20. punktā un Eiropas Savienības fondus regulējošajos normatīvajos aktos un praksē lietoto, lūdzam aizstāt noteikumu projekta 13.7. apakšpunktā vārdu "publicitātes" ar vārdu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ar projekta darbībām tieši saistīto </w:t>
            </w:r>
            <w:r w:rsidR="00000000" w:rsidRPr="00000000" w:rsidDel="00000000">
              <w:rPr>
                <w:u w:val="single"/>
                <w:rtl w:val="0"/>
              </w:rPr>
              <w:t xml:space="preserve">komunikācijas</w:t>
            </w:r>
            <w:r w:rsidR="00000000" w:rsidRPr="00000000" w:rsidDel="00000000">
              <w:rPr>
                <w:rtl w:val="0"/>
              </w:rPr>
              <w:t xml:space="preserve"> un vizuālās identitātes pasākumu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papildināts ar jaunu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ar projektu tieši saistīto komunikācijas un vizuālās identitātes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ar projekta darbībām tieši saistīto komunikācijas un vizuālās identitātes pasākumu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53. panta 1. punktu piemēro kā to attiecināmo izmaksu atlīdzināšanu, kas faktiski radušās finansējuma saņēmējam projekta darbību īstenošanas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paredzēt ierobežojumus personāla izmaksām, piemēram, projekta vadības personāla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nepārsniedz 84 787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anotācijā minēto, vēršam uzmanību, ka atbilstoši Eiropas Savienības (turpmāk – ES) fondu vadošās iestādes vadlīnijām Nr. 1.2. “Vadlīnijas attiecināmo izmaksu noteikšanai Eiropas Savienības kohēzijas politikas programmas 2021.-2027.gada plānošanas periodā" projekta vadības un īstenošanas personāla atlīdzības izmaksas ir attiecināmas, noslēdzot darba līgumu starp darba devēju un darbinieku vai ieceļot pretendentu ierēdņa amatā ar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personāla piesaiste tikai uz piemaksas principa nav attiecināma finansēšanai no ES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veikts izvērtējums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projekta tiešās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53. panta 1. punktu piemēro kā to attiecināmo izmaksu atlīdzināšanu, kas faktiski radušās finansējuma saņēmējam projekta darbību īstenošanas gaitā.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12.1. apakšpunktā minētās darbības tiek veiktas, finansējuma saņēmējam izvēloties pakalpojumu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vārdus “pakalpojumu sniedzējus” nomainīt ar vārdu “piegādātājus”, kas publisko iepirkumu regulējuma izpratnē ietver personas, kas attiecīgi piedāvā tirgū veikt būvdarbus, piegādāt preces vai sniegt pakalpojumus. Precizējums nepieciešams, jo noteikumu projekta 15. punktā ir iekļauta atsauce uz 12.1. apakšpunktu, kurā noteiktās projekta atvalstāmās darbības ietver ne tikai pakalpojumus, bet arī būvdarbus un piegādes.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vārdus “pakalpojumu sniedzējus” nomainīt ar vārdu “piegādātājus”, kas publisko iepirkumu regulējuma izpratnē ietver personas, kas attiecīgi piedāvā tirgū veikt būvdarbus, piegādāt preces vai sniegt pakalpojumus. Precizējums nepieciešams, jo noteikumu projekta 15. punktā ir iekļauta atsauce uz 12.1. apakšpunktu, kurā noteiktās projekta atvalstāmās darbības ietver ne tikai pakalpojumus, bet arī būvdarbus un piegādes.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12.1. apakšpunktā minētās darbības tiek veiktas, finansējuma saņēmējam izvēloties piegādātājus saskaņā ar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Izmaksas ir attiecināmas no 2024.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18., 19. un 26. punkts saturiski attiecas uz attiecināmo izmaksu regulējumu, taču šobrīd ir iekļauti nodaļā “IV. 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normatīvā akta loģisku struktūru un skaidrību, lūdzam minētos punktus pārvietot uz nodaļu “III.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paraksta interešu konflikta neesības apliecinājumu saskaņā ar Eiropas Parlamenta un Padomes 2024. gada 23. septembra Regulas (ES, Euratom) 2024/2509 par finanšu noteikumiem, ko piemēro Savienības vispārējam budžetam (pārstrādātā redakcija) 61. pantu un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norādīts, ka finansējuma saņēmējs paraksta interešu konflikta neesības apliecinājumu saskaņā ar “normatīvajiem aktiem publisko iepirkumu jomā”. Skaidrojam, ka publisko iepirkumu regulējums neprasa parakstīt interešu konflikta neesības apliecinājumu finansējuma saņēmējam, apliecinājumus paraksta regulējumā noteiktās ar konkrēto iepirkumu saistītās personas. AAicinām precizēt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paraksta interešu konflikta neesības apliecinājumu saskaņā ar Eiropas Parlamenta un Padomes 2024. gada 23. septembra Regulas (ES, Euratom) 2024/2509 par finanšu noteikumiem, ko piemēro Savienības vispārējam budžetam (pārstrādātā redakcija) 61.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Īpašuma tiesības uz nekustamajiem īpašumiem (katastrofu pārvaldības centriem), kas tiks radīti pasākuma ceturtās kārtas ietvaros, tiks nostiprinātas zemesgrāmatā uz valsts vārda Iekšlietu ministrijas personā ne vēlāk, kā līdz noslēguma maksājuma pieprasījuma iesniegšanai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īpašumtiesību nostiprināšana zemesgrāmatā uz ēku pēc būvdarbu pabeigšanas prasa papildus laiku, kurā Finansējuma saņēmējs nevarēs iesniegt noslēguma maksājuma pieprasījumu Sadarbības iestādē, aicinām izvērtēt nosacījuma nepieciešamību tieši līdz noslēguma maksājuma pieprasījuma iesniegšanai sadarbības iestādē. Anotācijā tiek skaidrota situācija attiecībā uz zemes vienību, uz kurām tiks veikta būvniecība, īpašumtiesību pārņemšanu. Ierosinām noteikumos iekļaut nosacījumus attiecībā uz īpašumtiesībām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vai valdījuma tiesības attiecībā uz atbalstītajiem infrastruktūras objektiem nemaina, un ieguldījums paliek Latvijas Republikas teritorijā vismaz piecus gadus pēc projekta noslēguma maksājuma veikšanas finansējuma saņēmējam. Īpašuma vai valdījuma tiesības nostiprina zemesgrāmatā"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vai valdījuma tiesības uz nekustamajiem īpašumiem, kuros plānots veikt ieguldījumus, ir nostiprinātas zemesgrāmatā uz valsts vārda Iekšlietu ministrijas personā"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 tiesības veikt ieguldījumus zemes īpašumā nostiprina zemesgrāmatās līdz projekta noslēguma maksājuma veikšanai" vai citādi, atkarībā no faktiskās situācijas, tajā skaitā attiecībā uz apbūves tiesību.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Īpašuma vai valdījuma tiesības uz nekustamajiem īpašumiem, kuros plānots veikt ieguldījumus, ir nostiprinātas zemesgrāmatā uz valsts vārda Iekšlietu ministrijas personā. Gadījumā, ja nekustamie īpašumi neatrodas Iekšlietu ministrijas īpašumā vai valdījumā, tie tiks pārņemti Iekšlietu ministrijas īpašumā vai valdījumā ne vēlāk, kā līdz noslēguma maksājuma pieprasījuma iesniegšanai Sadarbības iestādē, kas tiek plānots perioda beigās.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horizontālā principa "Vienlīdzība, iekļaušana, nediskriminācija un pamattiesību ievērošana" rādītāja "Objektu skaits, kuros ERAF/KF ieguldījumu rezultātā ir nodrošināta vides un informācijas pieejamība"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HP rādītāja redakciju, ņemot vērā izmaiņas vadlīnijās "Vienlīdzība, iekļaušana, nediskriminācija un pamattiesību ievērošana” vadlīnijas īstenošanai un uzraudzībai (2021-2027)” [1]. Grozījumi attiecas uz projektu iesniegumu atlasēm, kuras ir izsludinātas pēc 2025. gada 5. marta.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horizontālā principa "Vienlīdzība, iekļaušana, nediskriminācija un pamattiesību ievērošana" rādītāja "Objektu, kuros ir nodrošināta vides un informācijas piekļūstamība, skaits"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24.2.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horizontālā principa "Vienlīdzība, iekļaušana, nediskriminācija un pamattiesību ievērošana" rādītāja "Objektu, kuros ir nodrošināta vides un informācijas piekļūstamība, skaits"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ceturtajā kārtā vienkāršotas (vienības) izmaksas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26. punkta nepieciešamību, ņemot vērā, ka tas ir deklaratīvs.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1.3.sadaļā ir norādīts: "Arī Viedās administrācijas un reģionālās attīstības ministrija sadarbībā ar SIA “PricewaterhouseCoopers” veica pētījumu (turpmāk – pētījums) par iespējām optimizēt Valsts un pašvaldības vienoto klientu apkalpošanas centru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minētajā pētījumā nav apskatīti Iekšlietu ministrijas valdījumā un nomā esošie nekustamie īpašumi vai  analizēts Valsts ugunsdzēsības un glābšanas dienesta struktūrvienību tīkls. Nav saprotama minētā pētījuma saistība ar Ministru kabineta noteikumu projektā ietverto regulējumu, kura mērķis ir nodrošināt Nodrošinājuma valsts aģentūras projekta "Katastrofu pārvaldības centru būvniecība"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noteikumu projekta anotācijas 1.3.sadaļu, izslēdzot norādi uz Viedās administrācijas un reģionālās attīstības ministrijas sadarbībā ar SIA “PricewaterhouseCoopers” veikto pētījumu  par iespējām optimizēt Valsts un pašvaldības vienoto klientu apkalpošanas centru izvietojumu.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anotācijā informāciju par pamatprincipiem uz kā balstīti tiešo attiecināmo personāla izmaksu aprēķini, jo, ja personāla izmaksu attiecināšanai netiek izmantota vienkāršoto izmaksu vienotā likme, tad šādu informāciju nav nepieciešams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2025.gada 20.maija sēdē (prot. Nr.20, 34.§) tika izskatīts informatīvais ziņojums "Par katastrofu pārvaldības centru projektēšanai un būvniecībai organizēto iepirkuma procedūru rezultātu (Dobele, Jūrmala (Kauguri), Ludza, Saldus)", informācijas izsekojamībai lūdzam papildināt anotāciju ar minētajās sēdes protokollēmumā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ka ieguldījumi plānoti saskaņā ar Jauno Eiropas Bauhaus iniciatīvu un vai pasākuma ietvaros īstenotie projekti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"Ņemot vērā, ka katastrofu pārvaldības centri tiek būvēti kā ilgtspējīgas, energoefektīvas ēkas, kuru mērķis ir tostarp mazināt klimata pārmaiņu izraisītās sekas, kas skar gan vidi, gan cilvēku ikdienu, projekts sekmē mērķu sasniegšanu Eiropas Savienības stratēģijā Baltijas jūras reģionam noteikto mērķu sasniegšanu klimata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tā kā vairākas ēkas jau atrodas būvniecības stadijā, tām nav iespējams piemērot Bauhaus iniciatīvas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 sadaļā tiek atspoguļota ietekme uz sabiedrības mērķa grupām. Savukārt anotācijas 7. sadaļā ir norādāma informācija par tiesību akta projekta izpildes nodrošināšanu un tās ietekmi uz valsts un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informāciju, kas atspoguļota anotācijas 2.1. apakšpunktā par valsts institūcijām, norādīt anotācijas 7.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un papildināta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informāciju anotācijas 3.sadaļas "Tiesību akta projekta ietekme uz valsts budžetu un pašvaldību budžetiem" apakšsadaļā "Cita informācija"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Katastrofu pārvaldības centru projektēšanai, būvniecībai un saistīto 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Tukumā, Rīgā (Bolderajā), Kuldīgā, Preiļos, Siguldā, Aizkrauklē un Limbažos nepieciešamais finansējums 59 904 535 euro ir piešķirts no valsts budžeta līdzekļiem, to pārdalot no 18. programmas, atzīstot šos izdevumus par vienreizējiem pasākumiem likuma "Par valsts budžetu 2023. gadam un budžeta ietvaru 2023., 2024. un 2025. gadam" 5. panta 3. punkta un likuma "Par valsts budžetu 2024. gadam un budžeta ietvaru 2024., 2025. un 2026. gadam" 5. panta 3.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Jūrmalā (Kauguros), Dobelē, Ludzā un Saldū nepieciešamais finansējums ne vairāk kā 46 124 654 euro, kā arī projekta īstenošanas un administrēšanas finansējums ne vairāk kā 395 770 euro apmērā Ceturtās kārtas projekta īstenošanai tiks pieprasīts no 80.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daļa katastrofu pārvaldības centru projektēšanai, būvniecībai un saistīto pakalpojumu segšanai Tukumā, Rīgā (Bolderajā), Kuldīgā, Preiļos, Siguldā, Aizkrauklē, Limbažos, Jūrmalā (Kauguros), Dobelē, Ludzā un Saldū, attiecīgajā likumā par valsts budžetu kārtējam gadam un vidēja termiņa budžeta ietvaru bija plānota 18. programmā un tiks attiecināta uz Programmas 2.1.3. specifiskā atbalsta mērķa "Veicināt pielāgošanos klimata pārmaiņām, risku novēršanu un noturību pret katastrofām"  2.1.3.3. pasākuma "Katastrofu risku mazināšanas pasākumi" ceturto kārtu, ir uzskatāma par izmantotu, ņemot vērā tā piešķiršanas mērķi un vienreizējo raksturu,  un attiecīgi nav izmantojama citu pasākumu īstenošanai. Ar attiecīgo izdevumu attiecināšanu uz Ceturto kārtu, tie vairs netiek atzīti par vienreizējiem pasākumiem un netiek izslēgti no vispārējās valdības budžeta strukturālās bilances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un 11. punktā ir noteikti informācijas sniegšanas pienākumi, līdz ar ko, lūdzu izvērtēt, vai minētie pienākumi ir attiecināmi uz noteikumu projektā noteiktajām attiecināmajām izmaksām. Ja minētie informācijas sniegšanas pienākumi nav attiecināmi uz noteikumos noteiktajām attiecināmajām izmaksām, lūdzu veikt administratīvo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ir veikts administratīvo izmaksu monetārs novērtējums, attiecīgi papildinot un precizējot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sadaļu ar horizontālā principa "Vienlīdzība, iekļaušana, nediskriminācija un pamattiesību ievērošana" (HP VINPI) specifisko darbību piemēriem, ar kuru īstenošanu ir iespējama MK noteikumu 24.2. apakšpunktā noteiktā HP VINPI rādītāja sasniegšana (</w:t>
            </w:r>
            <w:r w:rsidR="00000000" w:rsidRPr="00000000" w:rsidDel="00000000">
              <w:rPr>
                <w:i w:val="1"/>
                <w:rtl w:val="0"/>
              </w:rPr>
              <w:t xml:space="preserve">lūdzu skatīt piedāvāto redakciju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vai HP VINPI vispārīgā darbība "sabiedrības informēšanas kampaņu un pasākumu saturs tiks rūpīgi izvērtēts, lai novērstu jebkādas aizskarošas vai aizspriedumus uzturošas informācijas izplatīšanu sabiedrībai" ir atbilstoša un izriet no pasākuma satura, un, ja nepieciešams, dzēst šo HP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Specifisko HP VINPI darbību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 (</w:t>
            </w:r>
            <w:r w:rsidR="00000000" w:rsidRPr="00000000" w:rsidDel="00000000">
              <w:rPr>
                <w:i w:val="1"/>
                <w:rtl w:val="0"/>
              </w:rPr>
              <w:t xml:space="preserve">atbilstošais rādītājs VINPI_12, obligātais, noteikts MKN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vides un informācijas, aprīkojuma, informācijas tehnoloģiju risinājumu piekļūstamību personām ar dažādiem funkcionēšanas ierobežojumiem  (attiecīgi pievienojot dokumentus, piem. konsultāciju protokolus u.c.) (</w:t>
            </w:r>
            <w:r w:rsidR="00000000" w:rsidRPr="00000000" w:rsidDel="00000000">
              <w:rPr>
                <w:i w:val="1"/>
                <w:rtl w:val="0"/>
              </w:rPr>
              <w:t xml:space="preserve">atbilstošais rādītājs VINPI_18, projekta iesniedzējs var izvēlēties papildus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2.1.3.3. pasākuma projekta iesnieguma sagatavotājus par horizontālā principa "Vienlīdzība, iekļaušana, nediskriminācija un pamattiesību ievērošana" (HP VINPI) īstenošanu, lūdzam papildināt ar informāciju par minimālajām prasībām attiecībā uz HP VINPI.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horizontālo principi "Vienlīdzība, iekļaušana, nediskriminācija un pamattiesību ievērošana" (HP VINPI).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Labklājības ministrijas ierosinātos grozījumus  HP VINPI vadlīnijās (12.05.2025.) attiecībā uz noteiktajām prasībām projektos, pasākumos ar netiešu ietekmi uz HP VINPI ir jāparedz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vismaz 2 vispārīgas HP VINPI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vismaz 1 specifiska HP VINPI darbība;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jānosaka vismaz 1 projekta HP VINPI  rādītājs (definēts MKN).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ir arī  jāsniedz vispārīgo un specifisko HP VINPI darbību pamatojums (KPVIS), piemēram, kā HP darbība ir saistīta ar projekta konkrēto darbību, kādā veidā projekts īstenos HP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apakšpunkts 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25-TA-305</w:t>
    </w:r>
    <w:r>
      <w:br/>
    </w:r>
    <w:r w:rsidR="00000000" w:rsidRPr="00000000" w:rsidDel="00000000">
      <w:rPr>
        <w:rtl w:val="0"/>
      </w:rPr>
      <w:t xml:space="preserve">15.07.2025. 14.07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25-TA-305</w:t>
    </w:r>
    <w:r>
      <w:br/>
    </w:r>
    <w:r w:rsidR="00000000" w:rsidRPr="00000000" w:rsidDel="00000000">
      <w:rPr>
        <w:rtl w:val="0"/>
      </w:rPr>
      <w:t xml:space="preserve">15.07.2025. 14.07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Izziņa_25-TA-305.docx</dc:title>
</cp:coreProperties>
</file>

<file path=docProps/custom.xml><?xml version="1.0" encoding="utf-8"?>
<Properties xmlns="http://schemas.openxmlformats.org/officeDocument/2006/custom-properties" xmlns:vt="http://schemas.openxmlformats.org/officeDocument/2006/docPropsVTypes"/>
</file>