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"Šlokenbekas ielejas", Smārdes pagastā, Tukuma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detalizētu skaidrojumu par to, kā kāds no šā brīža Publiskas personas mantas atsavināšanas likumā ietvertā starpgabala definīcijas kritērijiem iestājas konkrētajos faktiskajos apstākļos (izskaidrot tiesību normas interpretācijas un piemērošanas ceļu kontekstā ar starpgabala kā jēdziena mērķi, kādā ir konstatēts, ka konkrētais nekustamais īpašums ir starpgabals). Rīkojuma projekta anotācijā sniegts skaidrojums, ka, ņemot vērā, ka nekustamajam īpašumam piekļuve šobrīd nav nodrošināta, zemes vienībai piekļuvi nav iespējams nodrošināt vispār (arī nākotnē). Ņemot vērā, ka "nav nodrošināta piekļuve" un "nevar nodrošināt piekļuvi" ir divi dažādi apstākļi, secinot faktisko apstākļu atbilstību vienam no tiem ("nav nodrošināta piekļuve"), no tā neizriet automātisks secinājums par faktisko atbilstību pavisam citam apstāklim ("nevar nodrošināt piekļuvi"). Līdz ar to lūdzam skaidrot tiesību normas interpretācijas ceļu - kā, secinot, ka piekļuve šobrīd nav nodrošināta, no tā izriet secinājums, ka to arī nav iespējams nodrošināt.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lai būtu iespējams konkrēti izprast iepriekšminētās interpretācijas robežas, lūdzam arī sniegt skaidrojumu, vai Finanšu ministrijas ieskatā visos gadījumos, kad nekustamajam īpašumam nav nodrošināta piekļuve (t.sk., ar tiesiski nodibinātu servitūtu), automātiski visos gadījumos tiks izdarīts secinājums, ka piekļuvi nodrošināt nav iespējams vai tomēr var būt arī tādi gadījumi, kad piekļuve nebūs nodrošināta, tomēr nekustamais īpašums netiks atzīts par starpgabalu, jo tiks konstatēts, ka piekļuvi ir iespējams nodrošināt, ņemot vērā kādus konkrētus apstākļus (piemēram, īpašuma vērtība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anotācijā sniegtā skaidrojuma negūst pārliecību, ka konkrētajā gadījumā nekustamā īpašuma pārdošana par nosacītu cenu valstij būs finansiāli izdevīgāks risinājums par tā pārdošanu izsolē (kurā var piedalīties ikviens kaimiņa īpašuma īpašnieks un ikviens sabiedrības loceklis), kas ir Publiskas personas mantas atsavināšanas likumā noteiktais primārais mantas pārdošanas veids, kas savukārt vērsts uz Publiskas personas finanšu līdzekļu un mantas izšķērdēšanas novēršanas likuma 3. panta 2. punktā noteiktā pienākuma izpildi (valsts pienākums mantu atsavināt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vienošanās ceļā nodibināt ceļa servitūtus nav izdevies, VNĪ ir izvērtējusi ceļa servitūtu nodibināšanu tiesvedības ceļā. Tiesvedības izdevumi prasības pieteikuma iesniegšanai tiesā ir 70 </w:t>
            </w:r>
            <w:r w:rsidR="00000000" w:rsidRPr="00000000" w:rsidDel="00000000">
              <w:rPr>
                <w:i w:val="1"/>
                <w:rtl w:val="0"/>
              </w:rPr>
              <w:t xml:space="preserve">euro</w:t>
            </w:r>
            <w:r w:rsidR="00000000" w:rsidRPr="00000000" w:rsidDel="00000000">
              <w:rPr>
                <w:rtl w:val="0"/>
              </w:rPr>
              <w:t xml:space="preserve">, turklāt šāda veida tiesvedības parasti ilgst vismaz 3 gadus. Kā arī papildus valstij rastos katra servitūta dibināšanas izdevumi, ierakstot tos zemesgrāmatā kā apgrūtinājumus, tai skaitā plāna izgatavošana, uzmērīšana (200-300 </w:t>
            </w:r>
            <w:r w:rsidR="00000000" w:rsidRPr="00000000" w:rsidDel="00000000">
              <w:rPr>
                <w:i w:val="1"/>
                <w:rtl w:val="0"/>
              </w:rPr>
              <w:t xml:space="preserve">euro</w:t>
            </w:r>
            <w:r w:rsidR="00000000" w:rsidRPr="00000000" w:rsidDel="00000000">
              <w:rPr>
                <w:rtl w:val="0"/>
              </w:rPr>
              <w:t xml:space="preserve"> par katru servitūtu), zemesgrāmatas kancelejas nodeva par servitūtu ierakstīšanu gan kalpojošo, gan valdošā nekustamā īpašuma zemesgrāmatas nodalījumā (kopā 27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par katru servitūtu), kalpojošo zemes vienību īpašnieku izdevumi par notāra pakalpojumiem (aptuveni 50 </w:t>
            </w:r>
            <w:r w:rsidR="00000000" w:rsidRPr="00000000" w:rsidDel="00000000">
              <w:rPr>
                <w:i w:val="1"/>
                <w:rtl w:val="0"/>
              </w:rPr>
              <w:t xml:space="preserve">euro</w:t>
            </w:r>
            <w:r w:rsidR="00000000" w:rsidRPr="00000000" w:rsidDel="00000000">
              <w:rPr>
                <w:rtl w:val="0"/>
              </w:rPr>
              <w:t xml:space="preserve"> par katru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valstij tiesvedības procesa laikā būtu jāturpina uzturēt Nekustamo īpašumu (2023.gadā minētā īpašuma uzturēšanas izmaksas bija 175,5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vēršanās tiesā par ceļa servitūtu nodibināšanu gan laika, gan administratīvo resursu dēļ nav uzskatāma par lietderīgāko rīcību, ņemot vērā Nekustamā īpašuma novērtējumu kadastrā (378 </w:t>
            </w:r>
            <w:r w:rsidR="00000000" w:rsidRPr="00000000" w:rsidDel="00000000">
              <w:rPr>
                <w:i w:val="1"/>
                <w:rtl w:val="0"/>
              </w:rPr>
              <w:t xml:space="preserve">euro</w:t>
            </w:r>
            <w:r w:rsidR="00000000" w:rsidRPr="00000000" w:rsidDel="00000000">
              <w:rPr>
                <w:rtl w:val="0"/>
              </w:rPr>
              <w:t xml:space="preserve">), kas ir ievērojami zemāks par kopējiem potenciālajiem izdevumiem, kas valstij rastos, dibinot servitūtu tiesvedības ceļā (kopā 3 gadu periodā aptuveni 1904,5 </w:t>
            </w:r>
            <w:r w:rsidR="00000000" w:rsidRPr="00000000" w:rsidDel="00000000">
              <w:rPr>
                <w:i w:val="1"/>
                <w:rtl w:val="0"/>
              </w:rPr>
              <w:t xml:space="preserve">euro</w:t>
            </w:r>
            <w:r w:rsidR="00000000" w:rsidRPr="00000000" w:rsidDel="00000000">
              <w:rPr>
                <w:rtl w:val="0"/>
              </w:rPr>
              <w:t xml:space="preserve">). Publiskas personas finanšu līdzekļu un mantas izšķērdēšanas novēršanas likuma 3.pantā noteikts publiskas personas pienākums lietderīgi rīkoties ar finanšu līdzekļiem un mantu, tai skaitā rīcībai jābūt tādai, lai mērķi sasniegtu ar mazāko finanšu līdzekļu un mantas izlietojumu, kā arī manta atsavināma un nododama īpašumā vai lietošanā citai personai par iespējami augstāku cenu. Līdz ar to Nekustamā īpašuma pārdošana par brīvu cenu (kas nav zemāka par nosacīto cenu) konkrētajā gadījumā ir uzskatāma par lietderīgāko un finansiāli izdevīgāko rīcību, savukārt tiesvedības uzsākšana servitūta dibināšanai, būtu pretrunā ar Publiskas personas finanšu līdzekļu un mantas izšķērdēšanas novēršanas likumā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konkrētajā gadījumā Nekustamā īpašuma un tam kalpojošo nekustamo īpašumu zemesgrāmatās nav nodibināti ceļa servitūti, ierakstot tos zemesgrāmatā kā apgrūtinājumus, un, ievērojot Publiskas personas finanšu līdzekļu un mantas izšķērdēšanas novēršanas likumā valstij noteikto pienākumu rīkoties lietderīgi ar finanšu līdzekļiem un mantu, secināms, ka Nekustamā īpašuma sastāvā esošajai zemes vienībai nav iespējams nodrošināt pieslēgumu koplietošanas ielai (ceļam) un tādējādi izpildās viens no Atsavināšanas likuma 1.panta 11. punkta “b” apakšpunktā minētajiem kritērijiem un Nekustamā īpašuma sastāvā esošā zemes vienība ir uzskatāma par starpgabalu, kas virzāma pārdošanai par brīvu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Atsavināšanas likuma 44.panta pirmo daļu publiskas personas zemi var iegūt īpašumā personas, kas saskaņā ar likumu var būt zemes īpašuma tiesību subjekti. Ievērojot minēto, atsavinot rīkojuma projektā minēto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kurā brīdī tiks vērtēta pirmpirkuma tiesīgo atbilstība likuma “Par zemes privatizāciju lauku apvidos” noteiktajiem ierobežojumiem darījumos ar zemes īpašumiem un vai šie ierobežojumu tiks paredzēti arī izsoles noteikumos, ja tāda tiks rīkota.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pirmpirkuma tiesīgo personu atbilstība likuma “Par zemes privatizāciju lauku apvidos” noteiktajiem ierobežojumiem darījumos ar zemes īpašumiem tiks vērtēta brīdī, kad pretendenti ir pieteikušies.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24-TA-355</w:t>
    </w:r>
    <w:r>
      <w:br/>
    </w:r>
    <w:r w:rsidR="00000000" w:rsidRPr="00000000" w:rsidDel="00000000">
      <w:rPr>
        <w:rtl w:val="0"/>
      </w:rPr>
      <w:t xml:space="preserve">31.05.2024. 15.58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24-TA-355</w:t>
    </w:r>
    <w:r>
      <w:br/>
    </w:r>
    <w:r w:rsidR="00000000" w:rsidRPr="00000000" w:rsidDel="00000000">
      <w:rPr>
        <w:rtl w:val="0"/>
      </w:rPr>
      <w:t xml:space="preserve">31.05.2024. 15.58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Izziņa_24-TA-355.docx</dc:title>
</cp:coreProperties>
</file>

<file path=docProps/custom.xml><?xml version="1.0" encoding="utf-8"?>
<Properties xmlns="http://schemas.openxmlformats.org/officeDocument/2006/custom-properties" xmlns:vt="http://schemas.openxmlformats.org/officeDocument/2006/docPropsVTypes"/>
</file>