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22-TA-2265: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nelielo papildu nepieciešamā finansējuma apmēru noteikumu projekta īstenošanai, uzskatām, ka tas ir nodrošināms ministrijas esošo līdzekļu ietvaros, nepieciešamības gadījumā pārskatot jau šobrīd plānotā finansējuma izlietojumu pa izdevumu pozīcijām. Līdz ar to ir precizējama anotācijas 3.sadaļa, norādot, ka papildu nepieciešamais finansējums tiks nodrošināts ministrijas esošo līdzekļu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 dzēšot informāciju par nepieciešamo papildu finansējumu no valsts budžeta, vienlaikus papildinot ar sekojošu skaidrojumu: "Papildu nepieciešamais finansējums administratīvo izmaksu segšanai tiks nodrošināts no ES fondu 2021.-2027.gada plānošanas perioda Tehniskās palīdzības finansējuma. Ja MK noteikumu projekta 5. punktā, ar kuru MK noteikumi Nr. 533 tiek papildināti ar 32.</w:t>
            </w:r>
            <w:r w:rsidR="00000000" w:rsidRPr="00000000" w:rsidDel="00000000">
              <w:rPr>
                <w:vertAlign w:val="superscript"/>
                <w:rtl w:val="0"/>
              </w:rPr>
              <w:t xml:space="preserve">2</w:t>
            </w:r>
            <w:r w:rsidR="00000000" w:rsidRPr="00000000" w:rsidDel="00000000">
              <w:rPr>
                <w:rtl w:val="0"/>
              </w:rPr>
              <w:t xml:space="preserve"> punktu, minētās sadarbības iestādes funkcijas īstenošana pārsniedz ES fondu 2021.–2027.gada plānošanas perioda īstenošanas laiku, jautājums par nepieciešamo valsts budžeta finansējumu funkcijas īstenošanai ir skatāms kārtējā valsts budžeta sagatavošanas procesā,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skaidrojumu attiecīgi papildināta anotācijas 7.5. sadaļa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8.1.4. specifiskā atbalsta mērķa "Uzlabot pirmā līmeņa profesionālās augstākās izglītības STEM, tajā skaitā medicīnas un radošās industrijas, studiju mācību vidi koledžās"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atbalsta saņēmējs - publiska persona, slēdzot iepirkuma līgumus vai veicot iepirkumu, izslēgtu komercdarbības atbalstu konkrētam piegādātājam, jārīkojas kā tirgus ekonomikas dalībniekiem, proti, darījumam ir jāatbilst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izslēgtu ekonomiskās priekšrocības preču piegādātājiem un pakalpojumu sniedzējiem, tādējādi novēršot tiem komercdarbības atbalsta piešķiršanu, tie būtu jāizraugās atklātā, pārredzamā, nediskriminējošā un konkurenci nodrošinošā procedūrā. Procedūrai ir jābūt konkurenci nodrošinošai, lai procesā varētu piedalīties visi ieinteresētie un nosacījumiem atbilstīgie piegādātāji/pakalpojuma sniedzēji, kā arī procedūrai ir jābūt pārredzamai, lai nodrošinātu, ka visi ieinteresētie piegādātāji/pakalpojuma sniedzēji katrā konkursa procedūras posmā ir vienādi un pienācīgi informēti. Iepirkuma procedūrai jābūt pietiekami plaši publiskotai, lai par to varētu uzzināt potenciālie piedāvājumu iesniedzēji. Nepieciešamie priekšnosacījumi ir nediskriminējoša attieksme pret visiem piedāvājumu iesniedzējiem visos procedūras posmos un objektīvu atlases un līgumslēgšanas kritēriju noteikšana pirms procedūras. Lai garantētu vienlīdzīgu attieksmi, līgumslēgšanas kritērijiem būtu jābūt tādiem, kas dod iespēju objektīvi salīdzināt un novērtēt piedāvājumus. Skaidrojam, ka preču/pakalpojumu iegāde no komersantiem, neievērojot atklātu, pārredzamu, nediskriminējošu un konkurenci nodrošinošu procedūru, var kvalificēties kā komercdarbības atbalsts tiem un tad tas var tikt piešķirts, tikai ievērojot attiecīgo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preču piegādātāju/pakalpojumu sniedzēja līmenī netiek sniegts komercdarbības atbalsts, lūdzam papildināt noteikumus ar nosacījumu, ka, īstenojot projektu, finansējuma saņēmējs izvēlas preču piegādātāju/pakalpojuma sniedzējus saskaņā ar normatīvajiem aktiem publisko iepirkumu jomā, īstenojot atklātu, pārredzamu, nediskriminējošu un konkurenci nodrošinošu procedūru. Piemēram, noteikumu projekta 33.punktu.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visu 8.1.4. SAM projektu īstenošana ir noslēgusies un iepirkumi vairs netiks veikti, līdz ar to šāda nosacījuma iekļaušana MK noteikumu projektā nav lietderīga.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8.1.4. specifiskā atbalsta mērķa "Uzlabot pirmā līmeņa profesionālās augstākās izglītības STEM, tajā skaitā medicīnas un radošās industrijas, studiju mācību vidi koledžās"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1.1.sadaļas apakšsadaļu “Apraksts” ar atsauci uz Eiropas Savienības struktūrfondu un Kohēzijas fonda 2014. – 2020.gada plānošanas perioda vadības likuma 20.panta 6.punktu kā vienu no normām, uz kuru pamata izdots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sadaļas apakšsadaļa "Apraksts" ir papildināta ar attiecīgo atsauci.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apakšsadaļā “Risinājuma apraksts” norādīts, ka infrastruktūras amortizācijas periods ir projekta ietvaros modernizēto aktīvu lietderīgās lietošanas laiks, kuru nosaka, tostarp ievērojot projekta dzīves cikla periodu, ja projekta ietvaros veic būvniecību (izņemot vienkāršoto atjaunošanu).  8.1.4.specifiskā atbalsta mērķa "Uzlabot pirmā līmeņa profesionālās augstākās izglītības STEM, tajā skaitā medicīnas un radošās industrijas, studiju mācību vidi koledžās" (turpmāk - 8.1.4.SAM) ietvaros saskaņā ar izmaksu un ieguvumu analīzē izmantojamiem vispārīgiem pieņēmumiem un parametru skaitliskām vērtībām tas ir 20 gadi. Lūdzam skaidrot anotācijā, kur ir norādīta attiecīgā informācija par 20 gadiem kā projekta dzīves cikla periods 8.1.4.SAM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ir precizēts teksts, norādot, ka 8.1.4. SAM ietvaros saskaņā ar Izglītības un zinātnes ministrijas izstrādāto dokumentu „Izmaksu un ieguvumu analīzē izmantojamie vispārīgie pieņēmumi un parametru skaitliskās vērtības”, kas tika sagatavots atbilstoši MK noteikumu Nr. 533 31. punktam, projekta dzīves cikla periods ir 20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apakšsadaļā “Risinājuma apraksts” norādīts, ka vienošanās ar sadarbības iestādi par projekta īstenošanu nosaka, ka finansējuma saņēmējam ir pienākums glabāt projekta iesnieguma atvasinājumu un ar projekta īstenošanu un darbībām infrastruktūras amortizācijas periodā saistīto dokumentu oriģinālus vai normatīvajos aktos par dokumentu izstrādāšanu un noformēšanu noteiktajā kārtībā apliecinātas to kopijas visu infrastruktūras amortizācijas periodu. Lūdzam anotācijā norādīt, kāds infrastruktūras amortizācijas periods ir norādīts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ir precizēts teksts par finansējuma saņēmēja pienākumu glabāt projekta dokumentus, izsakot to šādā redakcijā: "Vienošanās ar sadarbības iestādi par projekta īstenošanu nosaka, ka finansējuma saņēmējam ir pienākums projekta īstenošanas laikā un sadarbības iestādes paziņotajā dokumentu glabāšanas termiņā nodrošināt visu ar projekta īstenošanu saistīto dokumentu glabāšanu, t. sk. projekta iesnieguma, jebkuru ar projektu saistīto sarakstes dokumentu, iepirkuma dokumentācijas, projektā noslēgto līgumu, veikto darbu, piegāžu un sniegto pakalpojumu apliecinošu dokumentu, veikto maksājumu apliecinošo dokumentu oriģinālu vai to atvasinājumu ar juridisku spēku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skaidrojumu, ka katra 8.1.4. SAM projekta infrastruktūras amortizācijas periods ir norādīts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kontekstā ar noteikumu projektā paredzētajiem grozījumiem ir nepieciešams veikt arī grozījumus vienošanās par projektu īstenošanu. Gadījumā, ja attiecīgi grozījumi ir jāveic, lūdzam ar atbilstošu informāciju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visu 8.1.4. SAM projektu īstenošana ir noslēgusies un nav nepieciešams veikt grozījumus noslēgtajās vienošanās ar sadarbības iestādi par projektu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apakšsadaļā “Risinājuma apraksts” norādīts, ka veiktā Malnavas koledžas reorganizācija nerada ietekmi uz Malnavas koledžas projekta ilgtspēju. Lūdzam attiecīgo informāciju papildināt ar norādi, ka veiktā Malnavas koledžas reorganizācija nerada ietekmi arī uz Malnavas koledžas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precizēts teksts, norādot, ka Malnavas koledžas reorganizācija nerada ietekmi uz Malnavas koledžas projekta īstenošanu, kā arī nerada ietekmi uz Malnavas koledžas projekta ilgtspēju.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7.5.sadaļu, ņemot vērā, ka tajā ietvertā informācija dublējas (skat. teikumus "Uzraudzības ietvaros sadarbības iestāde izvērtē šādus aspektus:" un "Uzraudzības ietvaros sadarbības iestāde izvērtē:").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precizēt minētajā sadaļā ietverto atsauci uz Ministru kabineta 2016.gada 9.augusta noteikumu Nr.533 “Darbības programmas “Izaugsme un nodarbinātība” 8.1.4. specifiskā atbalsta mērķa “Uzlabot pirmā līmeņa profesionālās augstākās izglītības STEM, tajā skaitā medicīnas un radošās industrijas, studiju mācību vidi koledžās” īstenošanas noteikumi” (turpmāk – noteikumi Nr.533) 32.</w:t>
            </w:r>
            <w:r w:rsidR="00000000" w:rsidRPr="00000000" w:rsidDel="00000000">
              <w:rPr>
                <w:vertAlign w:val="superscript"/>
                <w:rtl w:val="0"/>
              </w:rPr>
              <w:t xml:space="preserve">1</w:t>
            </w:r>
            <w:r w:rsidR="00000000" w:rsidRPr="00000000" w:rsidDel="00000000">
              <w:rPr>
                <w:rtl w:val="0"/>
              </w:rPr>
              <w:t xml:space="preserve"> punktu, aizstājot skaitli “32.1” ar skaitli “32.</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 sadaļa ir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Ja sadarbības iestāde konstatē, ka ir pārkāptas šajos noteikumos noteiktās komercdarbības atbalsta kontroles normas, atbalsta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6.punktā ietvertā plānotā noteikumu Nr.533 32.</w:t>
            </w:r>
            <w:r w:rsidR="00000000" w:rsidRPr="00000000" w:rsidDel="00000000">
              <w:rPr>
                <w:vertAlign w:val="superscript"/>
                <w:rtl w:val="0"/>
              </w:rPr>
              <w:t xml:space="preserve">3</w:t>
            </w:r>
            <w:r w:rsidR="00000000" w:rsidRPr="00000000" w:rsidDel="00000000">
              <w:rPr>
                <w:rtl w:val="0"/>
              </w:rPr>
              <w:t xml:space="preserve"> punkta redakciju, aizstājot vārdus “atbalsta saņēmējam” ar vārdiem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Ja sadarbības iestāde konstatē, ka ir pārkāptas šajos noteikumos noteiktās komercdarbības atbalsta kontroles normas, finansējuma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22-TA-2265</w:t>
    </w:r>
    <w:r>
      <w:br/>
    </w:r>
    <w:r w:rsidR="00000000" w:rsidRPr="00000000" w:rsidDel="00000000">
      <w:rPr>
        <w:rtl w:val="0"/>
      </w:rPr>
      <w:t xml:space="preserve">13.09.2022. 09.54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22-TA-2265</w:t>
    </w:r>
    <w:r>
      <w:br/>
    </w:r>
    <w:r w:rsidR="00000000" w:rsidRPr="00000000" w:rsidDel="00000000">
      <w:rPr>
        <w:rtl w:val="0"/>
      </w:rPr>
      <w:t xml:space="preserve">13.09.2022. 09.54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Izziņa_22-TA-2265.docx</dc:title>
</cp:coreProperties>
</file>

<file path=docProps/custom.xml><?xml version="1.0" encoding="utf-8"?>
<Properties xmlns="http://schemas.openxmlformats.org/officeDocument/2006/custom-properties" xmlns:vt="http://schemas.openxmlformats.org/officeDocument/2006/docPropsVTypes"/>
</file>