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Ēnu ekonomikas ierobežošanas plāna 2021./2022. gadam pasākumu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iebilst un nepiekrīt informatīvajā ziņojumā norādītajam, ka 3.8.pasākums "Samazināt nelegālas izcelsmes degvielas apgrozījumu" ir zaudējis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ministrija nav  izvērtējusi iespējas ierobežot nelegālas izcelsmes degvielas apriti, kā arī iespējamus veicamus pasākumus, lai ierobežotu no trešajām valstīm iebraucošo komerciālo transportlīdzekļu degvielas tvertnēs ievestās degvielas nonākšanu nelegālajā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ministrija nav organizējusi diskusiju ar nozares asociācijām par  iespējām ierobežot nelegālas izcelsmes degvielas apriti, kā arī nav izvērtēti koordinēti risinājumi visās Baltijas valstīs situācijas sakārtošanai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bez jebkāda izvērtējuma un bez konsultācijām ar nozari nav pamata vienpersoniski ministrijas personā apgalvot, ka pasākums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ES 6.sankciju pakete noteic aizliegumu tieši vai netieši iegādāties, importēt vai nodot jēlnaftu vai naftas produktus, ja to izcelsme ir Krievijā vai tie eksportēti no Krievijas, līdz ar to LDTA ieskatā šis pasākums savu aktualitāti ir saglabājis.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LDTA iebildumu tika secināts, ka jautājums par nelegālas izcelsmes degvielas aprites ierobežošanu nenoliedzami ir un paliek aktuāls, tādēļ 3.8.pasākumam "Samazināt nelegālas izcelsmes degvielas apgrozījumu” ir mainīts izpildes statuss no “zaudēja aktualitāti” uz “izpilde turpinās”, kā arī papildināta informācija par izpildi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organizēta diskusija ar nozares ekspertiem, LDTA, SM, FM un VID par nelegālas izcelsmes degvielas aprites jautājuma aktualitāti, veicot izvērtējumu par esošo situāciju un institūciju veiktajiem pasākumiem, lai ierobežotu no trešajām valstīm iebraucošo komerciālo transportlīdzekļu degvielas tvertnēs ievestās degvielas nonākšanu nelegālajā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pašlaik Krievijas un Baltkrievijas pārvadātāju transportlīdzekļiem ES un arī Latvijā nav ļauts iebraukt, no minētām valstīm atļauts iebraukt tikai Latvijas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Krievijas militārajai agresijai pret Ukrainu, Eiropas Savienības (ES) un citas valstis jau ir ieviesušas un turpina ieviest arvien spēcīgākas sankcijas pret Krievijas Federāciju un Baltkrievijas Republiku, tostarp aizliedzot Krievijas un Baltkrievijas autotransporta uzņēmumiem veikt kravu autopārvadājumus uz ES valstīm. Arī no Latvijas puses sadarbība kravu pārvadājumu jomā ar Krieviju ir būtiski ierobežota. Savukārt ar Baltkrieviju Latvijai nenotiek ne savstarpējā komunikācija, ne starptautisko autopārvadājumu atļauju apmaiņa. Tādējādi kravu pārvadājumu apjomi uz minētajām valstīm ir minimizēti un tiek pastiprināti kontrolēti sankciju dēļ. Savukārt, atbildot uz ieviestajām sankcijām un ierobežojumiem, arī no Krievijas un Baltkrievijas puses ir sekojuši atbildes pasākumi, tajā skaitā - degvielas daudzuma ierobežojums ES reģistrēto transportlīdzekļa degvielas tvertnēs, izbraucot no Krievijas Federācijas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pārvadājumi no Krievijas un Baltkrievijas tiek pastiprināti kontrolēti, tomēr pašreizējā ģeopolitiskā situācija ir būtiski mainījusi piegāžu ķēdes mūsu reģionā. Ievērojot to, ka Centrālāzijas valstu pārvadātājiem Baltijas virziens palicis vienīgais iespējamais drošākais veids kā piekļūt pasaules tirgiem, ir ievērojami pieauguši šo valstu tranzīta pārvadājumu apjomi arī caur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2.5.sadaļas 3.12.pasākuma izpildes vērtējumu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3.12.pasākumam “Samazināt nelicencēto interaktīvo azartspēļu īpatsvaru” norādīts izpildes statuss “Izpilde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šī gada 4. jūlijā ir informējusi nozaru asociācijas (LSBA un LIAB), ka ir veikts attiecīgā pasākuma izvērtējums, taču ar šo izvērtējumu nozare un pārnozaru organizācijas netiek iepazīstinātas. Lūdzam nodrošināt piekļuvi veiktajam izvērtējumam – jo īpaši pirms sarunām par iespējamām nodokļu izmaiņām, kā arī pirms jauna ēnu ekonomikas ierobežošanas plāna izstrādes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iebildums un Mainīts pasākuma izpildes statuss no “Izpilde turpinās” uz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kabinets 2023.gada 26.septembrī apstiprināja Informatīvo ziņojumu "Par Valsts nodokļu politikas pamatnostādņu 2024.–2027.gadam izstrādes virzību" (23-TA-2027), kur iekļauti vairāki nodokļu politikas priekšlikumi, kuri, ņemot vērā to aktualitāti, varētu tikt apstiprināti kopā ar valsts budžetu 2024.gadam.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papildus skaidrojumu par Projekta 2.2.sadaļas astotās rindkopas pēdējā teikumā ietvertajiem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norāda, ka “saskaņā ar VID veikto novērtējumu PVN plaisa 2021. gadā bija 4,9 % jeb 162 milj. euro, kas salīdzinot ar 2020. gadu (6,8 %) ir par 1,9 procentpunktiem jeb 31 milj. euro absolūtā izteiksmē mazāk”. Ņemot vērā, ka viens procentpunkts no 4,9% pie bāzes 162 milj. euro ir 33 milj., tad 1,9 procentpunktu starpība absolūtā izteiksmē, iespējams, ir lielāka.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sniegtais iebildums. Nosakot PVN plaisu, VID salīdzina potenciālo nodokļu masu, ko teorētiski iespējams iekasēt atbilstoši aktuālajiem PVN normatīvajiem aktiem un iekšzemes kopprodukta (IKP) lielumam, ar faktiski iemaksāto PVN summu. Detalizētāk ar VID PVN plaisas novērtēšanas metodoloģijas būtību var iepazīties zemāk norādītajā vietnē: (https://www.vid.gov.lv/lv/media/2209/download?attachment)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septītās rindkopas pirmo teikumu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norādītie dati “445,23 milj. euro“ nav faktos balstīts lielums, tas teikumā būtu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rindkopas pirmo teikumu šādā redakcijā: “Pozitīvi vērtējams ir tas, ka atbilstoši novērtējuma rezultātiem nedeklarētā VSAOI summa 2020. gadā ir sarukusi līdz 445,23 milj. euro, kas ir par 34 milj. euro mazāk nekā 2019.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jaunākajiem VID publicētajiem novērtējuma datiem par “aplokšņu algu”, IIN un VSAOI plaisu, informācija par 2.2.pasākuma izpildi tika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2.2.pasākuma trešā un ceturtā rindkopa izteikta jaunā redakcijā: “Saskaņā ar VID veiktā novērtējuma rezultātiem, 2022. gadā nedeklarētās darba samaksas īpatsvars komercsektorā bija 17,5 %, kas ir par 0,5 % mazāk nekā 2021. gadā. No minētā var secināt, ka “aplokšņu algu” īpatsvars ir nedaudz samazinājies, kas ir vērtējams pozitīvi, it īpaši ņemot vērā pēdējo gadu nelabvēlīgo ekonomisko situāciju, un ievērojot to, ka nedeklarēto darba ienākumu apjoms ir cieši saistīts ar ekonomikas attīstības tempiem.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nedeklarētās darba samaksas apmēra novērtējumu, tiek novērtēts arī VSAOI un IIN plaisas apjoms. Saskaņā ar VID novērtējumu 2022.gadā komercsektorā nedeklarētās VSAOI daļa bija 17,5% jeb 584,2 milj. euro, savukārt nedeklarētā IIN daļa bija 19,4% jeb 314,5 milj. euro. Atbilstoši VID novērtējuma rezultātiem lielākā nedeklarētā darba ienākumu summa 2022. gadā bija mazumtirdzniecības un vairumtirdzniecības nozarē (321 miljons euro), sauszemes transporta pakalpojumu nozarē (169 miljoni euro) un būvniecības nozarē (162 miljoni euro). Detalizētāk ar VID veikto nedeklarētās darba samaksas novērtējumu var iepazīties VID tīmekļvietnes sadaļā: https://www.vid.gov.lv/lv/nozaru-statistikas-katalogs/nodoklu-plaisu-apmeri-par-2022gadu”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ceturto rindkopu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rindkopā minēto datu “(darba samaksa netiek deklarēta Rīgā (32,1 %) un Pierīgā (30,4 %), savukārt Kurzemes reģionā (27,5 %))” būtisko atšķirību no šīs sadaļas trešajā rindkopā minēto nedeklarēto darba ienākumu īpatsvaru komercsektorā, kas 2020. gadā bija 17,1 %, ir nepieciešams papildu skaidrojums, ar ko atšķiras trešajā rindkopā minētais “nedeklarētās darba samaksas” īpatsvars no ceturtajā rindkopā minētā “aplokšņu algu” īpatsvara.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2.2. pasākuma ceturtās rindkopas sākotnējās redakcijas teksts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2.2.sadaļas ietverto teikumu “Pamatojoties uz analīzes datiem, varam secināt, ka algas nodokļu plaisai ir pozitīva tendence un kopš 2016. gada tā lēnām samazinās”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jomā termins “nodokļu plaisa” var tikt saprasts divējādi - arī kā nodokļa slodzes rādītājs, piemēram, darba nodokļu plaisa (tax wedge of labour costs), vēlams norādīt, kādu plaisa šajā gadījumā tiek aprakstīta.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pie vārdiem “nodokļu plaisa” ir izveidota septītā atsauce, kur sniegts termina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pievienota atsauce ar skaidrojumu par nodokļu plaisas terminu šādā redakcijā: “Nodokļu plaisa ir nedeklarētā un deklarētā, bet nesamaksātā nodokļu apjoma summas attiecība pret potenciālo nodokļu masu, kas tiktu aprēķināta un iekasēta pie nosacījuma, ka visi nodokļu maksātāji pilnā apmērā izpilda savas nodokļu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1.1.sadaļā ietverto teikumu “Veiktā datu analīze liek secināt, ka 2022.gadā praktiski visās apskatītajās nozarēs plānā noteiktais rezultatīvais rādītājs tika sasniegts un kopējie nodokļu ieņēmumi bija lielāku par 2019.gada līmeni (..).” FM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Ietvertā informācija nesniedz skaidru priekšstatu par to, vai rezultatīvais rādītājs tika sasniegts nominālās vai salīdzināmās vienībās. Ņemot vērā, ka inflācijas līmenis atskaites periodā ievērojami pārsniedza Plāna izstrādes laikā prognozēto, tad secinājums, ka 2022.gadā visās apskatītajās nozarēs kopējie nodokļu ieņēmumi bija lielāki par 2019.gada līmeni, pie nosacījuma, ka pieaugums nepārsniedz inflācijas līmeni, var liecināt tikai par formālu rezultatīvā rādītāja izpildi. Lai gūtu skaidru priekšstatu, ir nepieciešamas salīdzinājums arī salīdzināmās vērtībās.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1.1.pasākumam tika noteikts rezultatīvais rādītājs “Nodokļu ieņēmumu kritums Covid-19 ierobežojumu skartajās nozarēs pēc ierobežojumu atcelšanas nav lielāks kā 10 %.” Tādējādi informatīvajā ziņojumā, sniedzot informāciju par pasākuma izpildi, uzmanība tika koncentrēta uz vienu rādītāju – nodokļu ieņēmumi un tā apjoma izmaiņām nozarēs, kuras Covid-19 krīze skāra visvairāk. Savukārt plašāks izvērtējums par Covid-19 krīzes skarto nozaru darbību tika veikts pamatojoties uz VID datiem un ir pieejams dokumentā, uz kuru informatīvajā ziņojumā ir pievienota otra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informatīvajā ziņojumā “</w:t>
            </w:r>
            <w:r w:rsidR="00000000" w:rsidRPr="00000000" w:rsidDel="00000000">
              <w:rPr>
                <w:i w:val="1"/>
                <w:rtl w:val="0"/>
              </w:rPr>
              <w:t xml:space="preserve">Par Ēnu ekonomikas ierobežošanas plāna 2021./2022. gadam pasākumu izpildi</w:t>
            </w:r>
            <w:r w:rsidR="00000000" w:rsidRPr="00000000" w:rsidDel="00000000">
              <w:rPr>
                <w:rtl w:val="0"/>
              </w:rPr>
              <w:t xml:space="preserve">” minēto pasākumu Nr.3.3 “</w:t>
            </w:r>
            <w:r w:rsidR="00000000" w:rsidRPr="00000000" w:rsidDel="00000000">
              <w:rPr>
                <w:i w:val="1"/>
                <w:rtl w:val="0"/>
              </w:rPr>
              <w:t xml:space="preserve">Nodrošināt atbilstošu kontroles vidi zemes dzīļu atradnēs izmantoto resursu izmantošanā būvniecībā</w:t>
            </w:r>
            <w:r w:rsidR="00000000" w:rsidRPr="00000000" w:rsidDel="00000000">
              <w:rPr>
                <w:rtl w:val="0"/>
              </w:rPr>
              <w:t xml:space="preserve">” vērš uzmanību uz to, ka attiecīgais pasākums, ciktāl tas skar Ekonomikas ministrijas kompetenci, ir izpildīts ar Ministru kabineta 2023.gada 22.augusta noteikumiem Nr.478 “Grozījumi Ministru kabineta 2014. gada 19. augusta noteikumos Nr. 500 "Vispārīgie būvnoteikumi"”. Proti, būvdarbu žurnālā Būvniecības informācijas sistēmā tiek ietverta informācija par dabas resursu viediem atbilstoši Dabas resursu nodokļa likuma 1.pielikumam un ka par objektā ievestajiem dabas resursiem norāda derīgo izrakteņu atradnes nosaukumu, derīgo izrakteņu ieguves atļaujas vai licences izdevēju, numuru un tās izdošanas datumu vai objektu, kurā iegūti dabas resursi. Dati par dabas resursu (minerālmateriālu) izmantošanu objektos tiks nodrošināti Valsts Vides dienestam, padodot datus uz atvērto datu portālu (Latvijas Atvērto datu portālā. Papildus tam vēršam uzmanību uz to, ka jau šobrīd būvniecības regulējumā būvuzraugam ir noteikts pienākums pārbaudīt būvdarbos izmantojamo būvizstrādājumu atbilstību apliecinošos dokumentus, kā arī būvizstrādājumu atbilstību būvprojektam un piedalīties būvkonstrukciju, segto darbu un citu izpildīto būvdarbu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informatīvajā ziņojumā “</w:t>
            </w:r>
            <w:r w:rsidR="00000000" w:rsidRPr="00000000" w:rsidDel="00000000">
              <w:rPr>
                <w:i w:val="1"/>
                <w:rtl w:val="0"/>
              </w:rPr>
              <w:t xml:space="preserve">Par Ēnu ekonomikas ierobežošanas plāna 2021./2022. gadam pasākumu izpildi</w:t>
            </w:r>
            <w:r w:rsidR="00000000" w:rsidRPr="00000000" w:rsidDel="00000000">
              <w:rPr>
                <w:rtl w:val="0"/>
              </w:rPr>
              <w:t xml:space="preserve">” par pasākumu Nr.3.3 “</w:t>
            </w:r>
            <w:r w:rsidR="00000000" w:rsidRPr="00000000" w:rsidDel="00000000">
              <w:rPr>
                <w:i w:val="1"/>
                <w:rtl w:val="0"/>
              </w:rPr>
              <w:t xml:space="preserve">Nodrošināt atbilstošu kontroles vidi zemes dzīļu atradnēs izmantoto resursu izmantošanā būvniecībā</w:t>
            </w:r>
            <w:r w:rsidR="00000000" w:rsidRPr="00000000" w:rsidDel="00000000">
              <w:rPr>
                <w:rtl w:val="0"/>
              </w:rPr>
              <w:t xml:space="preserve">” norādīt, ka tas ir izpildīts. Vienlaikus lūdzam arī atbilstoši dzēst informatīvā ziņojuma atbilstošā pasākuma īstenošanas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neplāno organizēt papildus diskusiju ar VARAM par sniegtajiem priekšlikumiem tiesību aktu grozījumiem, jo šie priekšlikumi jau ir sniegti, izvērtēti un atbalstītie priekšlikumi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nav atbalstījusi likumprojektu “Grozījumi likumā "Par zemes dzīlēm"” (22-TA-2212) un šis likumprojekts (</w:t>
            </w:r>
            <w:r w:rsidR="00000000" w:rsidRPr="00000000" w:rsidDel="00000000">
              <w:rPr>
                <w:i w:val="1"/>
                <w:rtl w:val="0"/>
              </w:rPr>
              <w:t xml:space="preserve">redakcijā, kura ir pieejama Ekonomikas ministrijai</w:t>
            </w:r>
            <w:r w:rsidR="00000000" w:rsidRPr="00000000" w:rsidDel="00000000">
              <w:rPr>
                <w:rtl w:val="0"/>
              </w:rPr>
              <w:t xml:space="preserve">) neparedz, ka būvvaldes būvinspektoriem būs pienākums kontrolēt būvniecības rezultātā iegūtos dabas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pasākuma izpildes statuss no “Izpilde turpinās” uz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informācijas par 3.3.pasākuma izpildi svītrots teksts: “Lai uzlabotu kontroli pār dabas resursu apriti būvniecības objektos, pasākuma īstenošana tiks turpināta, savukārt EM organizēs diskusiju ar VARAM par sniegtajiem priekšlikumiem tiesību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VARAM sadarbībā ar VVD likumprojektā “Grozījumi likumā “Par zemes dzīlēm”” ir paredzējusi, ka būvniecības rezultātā iegūtos dabas resursus, kurus plānots izvest no objekta un lietot saimnieciskajām vajadzībām, būs jāatspoguļo BIS. To uzraudzību veiks pašvaldības būvinspektori kontrolējot būvniecības procesu objektā un datu atbilstību BIS, kā arī VVD savas kompetences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Ēnu ekonomikas ierobežošanas plāna 2021./2022. gadam pasākumu izpildi” saīsinājumu sarakstā neprecīzi norādīts Nacionālās elektronisko plašsaziņas līdzekļu padomes nosaukums (piedāvātā redakcija - Nacionālā</w:t>
            </w:r>
            <w:r w:rsidR="00000000" w:rsidRPr="00000000" w:rsidDel="00000000">
              <w:rPr>
                <w:u w:val="single"/>
                <w:rtl w:val="0"/>
              </w:rPr>
              <w:t xml:space="preserve">s</w:t>
            </w:r>
            <w:r w:rsidR="00000000" w:rsidRPr="00000000" w:rsidDel="00000000">
              <w:rPr>
                <w:rtl w:val="0"/>
              </w:rPr>
              <w:t xml:space="preserve"> elektronisko plašsaziņas līdzekļu padome). Priekšlikums precizēt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Nacionālā elektronisko plašsaziņas līdzekļu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saīsinājumu sarakstā 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Saeimas Juridiskās komisijas 17.oktobra sēdē likumprojekts tika atbalstīts pirms iesniegšanas Saeimā, lūdzam ziņojuma 14.lpp vārdus "bet vēl tiks organizēta sēde, lai apspriestu piedāvātās redakcijas" aizstāt ar vārdiem "Saeimas Juridiskā komisija ir atbalstījusi likumprojektu pirms iesniegsānas Saeimā un prognozējams, ka likumprojekts 26.oktobrī tiks atbalstīts pirmajā lasījumā".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2.4.pasākuma izpildi atbilstoši TM iesniegtajai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projekta otrās rindkopas pēdējo teikumu (23. lpp.) par likumprojektu “Grozījumi Farmācijas likumā”,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lemts par likumprojekta turpmāko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3.10.pasākuma pēdējais teikums izteikts jaunā redakcijā: “Tiks lemts par likumprojekta turpmāko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labot informatīvā ziņojuma projekta otrās rindkopas pēdējo teikumu (10. lpp.), svītrojot atsauci uz Valdības rīcības plānu un precizējot politikas plānošanas dokumenta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 tiks turpināta atbilstoši noteiktajiem uzdevumiem </w:t>
            </w:r>
            <w:r w:rsidR="00000000" w:rsidRPr="00000000" w:rsidDel="00000000">
              <w:rPr>
                <w:strike w:val="1"/>
                <w:rtl w:val="0"/>
              </w:rPr>
              <w:t xml:space="preserve">Valdības rīcības plānā, </w:t>
            </w:r>
            <w:r w:rsidR="00000000" w:rsidRPr="00000000" w:rsidDel="00000000">
              <w:rPr>
                <w:rtl w:val="0"/>
              </w:rPr>
              <w:t xml:space="preserve">Digitālās veselības stratēģijā līdz 2029.gadam</w:t>
            </w:r>
            <w:r w:rsidR="00000000" w:rsidRPr="00000000" w:rsidDel="00000000">
              <w:rPr>
                <w:vertAlign w:val="superscript"/>
                <w:rtl w:val="0"/>
              </w:rPr>
              <w:t xml:space="preserve">5</w:t>
            </w:r>
            <w:r w:rsidR="00000000" w:rsidRPr="00000000" w:rsidDel="00000000">
              <w:rPr>
                <w:rtl w:val="0"/>
              </w:rPr>
              <w:t xml:space="preserve"> un izstrādē esošajā Digitālās transformācijas pamatnostādņu 2021.–2027.gadam</w:t>
            </w:r>
            <w:r w:rsidR="00000000" w:rsidRPr="00000000" w:rsidDel="00000000">
              <w:rPr>
                <w:vertAlign w:val="superscript"/>
                <w:rtl w:val="0"/>
              </w:rPr>
              <w:t xml:space="preserve">6</w:t>
            </w:r>
            <w:r w:rsidR="00000000" w:rsidRPr="00000000" w:rsidDel="00000000">
              <w:rPr>
                <w:rtl w:val="0"/>
              </w:rPr>
              <w:t xml:space="preserve"> ieviešanas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Informatīvais ziņojums “Digitālās veselības stratēģija līdz 2029. gadam" (23-TA – 824). </w:t>
            </w:r>
            <w:r w:rsidR="00000000" w:rsidRPr="00000000" w:rsidDel="00000000">
              <w:rPr>
                <w:u w:val="single"/>
                <w:rtl w:val="0"/>
              </w:rPr>
              <w:t xml:space="preserve">Pieņemts MK 15.08.2023.</w:t>
            </w:r>
            <w:r w:rsidR="00000000" w:rsidRPr="00000000" w:rsidDel="00000000">
              <w:rPr>
                <w:rtl w:val="0"/>
              </w:rPr>
              <w:t xml:space="preserve"> Pieejams: https://tapportals.mk.gov.lv/legal_acts/ca84fcc7-3f49-4ac1-a75a-418b6da1f483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redakcionālie labojumi tekstā par 1.6.pasākuma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grozījumi Civilprocesa likumā 594.pantā ar ietverto deleģējumu attiecībā uz summu, no kuras nevar veikt piedziņu parādniekam un kā priekšlikumus iesniedza Saeimas Juridiskajā komisijā likumprojekta "Grozījumi Civilprocesa likumā" (Nr.26/Lp14) otrajam lasījumam . Atbildīgā komisija atzina, ka priekšlikumi ir konceptuāli un prasa plašāku diskusiju. Saeimas Juridiskā komisija, pirms tālākām diskusijām par šo ieceri, aicināja TM apzināt nozares pārstāvju viedokļus. Ņemot vērā minēto, kā arī lai nekavētu konkrētā likumprojekta tālāku virzību, TM iesniegtos priekšlikumus 2023.gada 9.februārī atsauca. Par grozījumiem joprojām turpinās konsultācijas un tiek precizētas redakcijas. Grozījumus iecerēts virzīt atsevišķā likumprojektā kā Juridiskās komisijas projektu. Šobrīd grozījumi ir izstrādāti un saskaņoti ar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konsultāciju rezultātā ir veiktas atsevišķas izmaiņas iepriekš Saeimas Juridiskajā komisijā iesniegtajās redakcijās. Atbilstoši šobrīd plānotajam modelim iecerēts noteikt, ka no parādniekam izmaksājamās darba algas (neto) daļas, kas līdzvērtīga Ministru kabineta noteiktajam minimālās mēneša darba algas apmēram (tai skaitā darba algas, kas nepārsniedz Ministru kabineta noteikto minimālo mēneša darba algu), parāda dzēšanai vispārējā gadījumā ietur 10%, bet no atlikušās darba algas daļas atbilstoši piedzenamā parāda veidam attiecīgi 30%, 40% vai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sagatavoti grozījumi Civilprocesa likumā 594.pantā ar ietverto deleģējumu attiecībā uz summu, no kuras nevar veikt piedziņu parādniekam un kā priekšlikumus iesniedza Saeimas Juridiskajā komisijā likumprojekta "Grozījumi Civilprocesa likumā" (Nr.26/Lp14) otrajam lasījumam . Atbildīgā komisija atzina, ka priekšlikumi ir konceptuāli un prasa plašāku diskusiju. Saeimas Juridiskā komisija, pirms tālākām diskusijām par šo ieceri, aicināja TM apzināt nozares pārstāvju viedokļus. Ņemot vērā minēto, kā arī lai nekavētu konkrētā likumprojekta tālāku virzību, TM iesniegtos priekšlikumus 2023.gada 9.februārī atsauca.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Izpidot doto uzdevumu, Tieslietu ministrija organizēja  konsultācijas un izstrādātie grozījumi ir iesniegti Saeimas Juridiskajā komisijā. Saeimas Juridiskā komisija 2023.gada 13.septembra sēdē konceptuali atbalstīta piedāvāto risinājumu, bet vēl tiks organizēta sēde, lai apspriestu piedāvātās redakcijas. Konsultāciju rezultātā ir veiktas atsevišķas izmaiņas. Atbilstoši šobrīd plānotajam modelim iecerēts noteikt, ka no parādniekam izmaksājamās darba algas (neto) daļas, kas  nepārsniedz Ministru kabineta noteikto minimālo mēneša darba algu parāda dzēšanai vispārējā gadījumā ietur 10%, bet no darba samaksas, kas pārsniedz minimālo mēneša darba algu atbilstoši piedzenamā parāda veidam attiecīgi ietur 30%, 40% vai 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2.4.pasākuma izpildi redakcionāli precizēta saskaņā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"lai mazinātu riskus neuzskaitītas, nelikumīgi vai noziedzīgi iegūtas skaidras naudas pārvietošanai pāri robežai un uzlabotu skaidras naudas kontroles iespējas gan uz ES ārējās robežas, gan uz valsts iekšējās robežas, sadarbībā ar TM tika izvērtēts tiesiskais regulējums par naudas aizturēšanu, </w:t>
            </w:r>
            <w:r w:rsidR="00000000" w:rsidRPr="00000000" w:rsidDel="00000000">
              <w:rPr>
                <w:i w:val="1"/>
                <w:rtl w:val="0"/>
              </w:rPr>
              <w:t xml:space="preserve">neuzsākot administratīvo procesu </w:t>
            </w:r>
            <w:r w:rsidR="00000000" w:rsidRPr="00000000" w:rsidDel="00000000">
              <w:rPr>
                <w:rtl w:val="0"/>
              </w:rPr>
              <w:t xml:space="preserve">vai kriminālprocesu, par skaidras naudas līdz 10 000 euro deklarēšanu, apzināta esošā situācija un piemērojamā prakse citās ES dalībvalstīs attiecībā uz administratīvo sodu piemērošanu un kriminālatbildību par skaidras naudas nedeklarēšanu, kā arī par ieviesto skaidras naudas kontroles mehānismu uz ES iekšējās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attiecas uz administratīvā pārkāpuma procesu, nevis "administratīvo procesu", lūdzam vārdus "neuzsākot administratīvo procesu" aizstāt ar vārdiem "neuzsākot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4.2.pasākuma izpildi redakcionāli precizēta saskaņā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"Saeimā 2023.gada 12.janvārī pieņemts likumprojekts "Grozījumi Dzīvnieku aizsardzības likumā" (21-TA-976), kas  skar dzīvnieku īpašnieku atbildību, mājas (istabas) dzīvnieku turēšanas un pavairošanas prasības, kā arī iestāžu kompetenci administratīvā pārkāpuma procesā. Tādējādi radīti legāli priekšnoteikumi un ietvars, lai turpmāk būtiski novērstu nekontrolētu dzīvnieku pavairošanu un atsavināšanu Latvijas teritorijā un panāktu dzīvnieku izsekojamību, vienlaikus aizsargājot potenciālos dzīvnieku pircējus un valstī mazinot ēnu ekonomiku dzīvnieku tirdzniecības jomā. Vienlaikus normatīvais regulējums nodrošinās operatīvi uzsāktu administratīvā pārkāpuma procesu, savācot pierādījumus, pieņemot liecības, tādējādi uzlabojot administratīvā pārkāpuma lietu izskatīšanu. Tas savukārt sekmēs klaiņojošo un patversmēs nonākušo dzīvnieku skaita samazināšanos nākotnē, kā arī ievērojami uzlabos mājas (istabas) dzīvnieku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likumprojekts Latvijas Republikas Saeimā vēl nav pieņemts galīgajā lasījumā, bet tikai 1. lasījumā 2023. gada 25.maijā. Attiecīgi lūdzam precizēt minēto informāciju, kā arī pārbaudīt likumprojekta esošā satura atbilstību informatīvajā ziņojumā norādītajam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3.11.pasākuma izpildi redakcionāli precizēta saskaņā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norādīts, ka </w:t>
            </w:r>
            <w:r w:rsidR="00000000" w:rsidRPr="00000000" w:rsidDel="00000000">
              <w:rPr>
                <w:i w:val="1"/>
                <w:rtl w:val="0"/>
              </w:rPr>
              <w:t xml:space="preserve">"praksē jāturpina principa “Konsultē vispirms” piemērošana nodokļu saistību izpildes veicināšanas pasākumos. </w:t>
            </w:r>
            <w:r w:rsidR="00000000" w:rsidRPr="00000000" w:rsidDel="00000000">
              <w:rPr>
                <w:i w:val="1"/>
                <w:u w:val="single"/>
                <w:rtl w:val="0"/>
              </w:rPr>
              <w:t xml:space="preserve">Savukārt, ja tiek konstatēts pārkāpums, bet maksātājs nesadarbojas, jau uzsākta kontroles (pārbaudes) pasākuma rezultātā jāierosina administratīvā pārkāpuma process un jāpiemēro sods </w:t>
            </w:r>
            <w:r w:rsidR="00000000" w:rsidRPr="00000000" w:rsidDel="00000000">
              <w:rPr>
                <w:i w:val="1"/>
                <w:rtl w:val="0"/>
              </w:rPr>
              <w:t xml:space="preserve">(arī tad, ja pēc pārkāpuma konstatēšanas ir veiktas darbības tā novēršanai) vai jāprecizē nodokļu apmērs, ja nav izpildītas saistības. Konsekventas pieejas īstenošanas rezultātā VID turpinātu nodrošināt, ka piemērojamie sodi ir audzinoši un atturoši."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procesa uzsākšanas pamati izriet no Administratīvās atbildības likuma un iespējama administratīvā pārkāpuma esamības, nevis tā, vai persona ir, vai nav sadarbojusies administratīvā procesā ietvaros veiktās pārbaudes laikā. Attiecīgi, lūdzam precizēt minēto apgalvojumu, lai tas nenonāktu pretrunā administratīvās atbildības pamatiem un administratīvo pārkāpumu tiesību jēgai.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2.3.pasākuma izpildi redakcionāli precizēta saskaņā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3.9.apakšpunktu ar pienākumu kontrolēt, vai par kravas transportlīdzekļiem (kuri vēlas izbraukt no Latvijas tajos robežšķērsošanas punktos, kuriem piekļūstamība ir pa autoceļiem, par kuru lietošanu maksājama autoceļu lietošanas nodeva) ir samaksāta autoceļu lietošanas nodeva, kā arī veikt pasākumus, kas nodrošina autoceļu lietošanas nodevas samaksu, ja konstatēts, ka tas nav izdarīts.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informatīvajā ziņojumā ir sniegta informācija par paveikto plāna pasākuma izpildē un sasniegtajiem rezultātiem, tādēļ pasākumi nav papildināmi ar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"Pasākuma īstenošanas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3.10. apakšpunktā ietvertto informāciju, ņemot vērā, ka tajā norādītais termiņš jau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gramatiski un saturiski precizēt 3.12.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3.10. un 3.12.pasākuma izpildi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sadaļā "Pasākuma īstenošanas analīze" 1.8. apakšpunkta redakciju, ievērojot to, ka ir uzsākta attiecīgā likumprojekta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MK 2020. gada 11. septembra rīkojumā Nr. 505 apstiprinātajiem grozījumiem konceptuālajā ziņojumā “Par valsts politiku ugunsdrošības jomā” ir uzsākta likumprojekta "Ugunsdrošības, ugunsdzēsības un glābšanas darbu likums" (23-TA-1429) izstrāde, lai pilnveidotu regulējumu attiecībā uz valsts ugunsdrošības uzraudzības darba veikšanu, ko paredzēts pabeigt līdz 30.11.2023.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1.8.pasākuma izpildi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23-TA-1815</w:t>
    </w:r>
    <w:r>
      <w:br/>
    </w:r>
    <w:r w:rsidR="00000000" w:rsidRPr="00000000" w:rsidDel="00000000">
      <w:rPr>
        <w:rtl w:val="0"/>
      </w:rPr>
      <w:t xml:space="preserve">27.11.2023. 11.00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23-TA-1815</w:t>
    </w:r>
    <w:r>
      <w:br/>
    </w:r>
    <w:r w:rsidR="00000000" w:rsidRPr="00000000" w:rsidDel="00000000">
      <w:rPr>
        <w:rtl w:val="0"/>
      </w:rPr>
      <w:t xml:space="preserve">27.11.2023. 11.00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Izziņa_23-TA-1815.docx</dc:title>
</cp:coreProperties>
</file>

<file path=docProps/custom.xml><?xml version="1.0" encoding="utf-8"?>
<Properties xmlns="http://schemas.openxmlformats.org/officeDocument/2006/custom-properties" xmlns:vt="http://schemas.openxmlformats.org/officeDocument/2006/docPropsVTypes"/>
</file>