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15. septembra noteikumos Nr. 524 "Kārtība, kādā nosaka, aprēķina un uzskaita katra dzīvojamās mājas īpašnieka maksājamo daļu par dzīvojamās mājas uzturēšanai nepieciešamajiem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(03.09.2021.)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lūdza sniegt pamatojumu tam, kāpēc projekta punktā paredzēts, ka dzīvojamās mājas īpašniekam, kurš nav ļāvis veikt siltumenerģijas patēriņa noteikšanas sistēmas sensoru uzstādīšanu, pārbaudi, nomaiņu, vai, ja konstatēts, ka siltumenerģijas patēriņa noteikšanas sistēmas sensors ir bojāts vai patvarīgi aizstāts, vai noņemts, vai ietekmēta siltumenerģijas patēriņa noteikšanas sistēmas darbība, maksājamās daļas noteikšanu par kvadrātmetru, kura ir līdzvērtīga dzīvokļiem, nedzīvojamām telpām un mākslinieka darbnīcām</w:t>
            </w:r>
            <w:r w:rsidR="00000000" w:rsidRPr="00000000" w:rsidDel="00000000">
              <w:rPr>
                <w:u w:val="single"/>
                <w:rtl w:val="0"/>
              </w:rPr>
              <w:t xml:space="preserve"> ar maksimālo enerģijas patēriņu.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anotācijā norādīts, ka minētais punkts Ministru kabineta noteikumos iekļauts kā preventīva rakstura risinājums ar atbilstošām sekām. Vienlaikus anotācijā nav vērtēts šāda nosacījuma samērīgums. Proti, vai noteiktās sekas ir atbilstošas un samērīgas ar pārkāpumu. Līdz ar to, lūdzam papildināt anotāciju ar paredzētā risinājuma (aprēķina metodes) samērīgumu attiecībā uz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Satversmes tiesa ir vērtējusi samērīgumu līdzīga regulējuma normās. Spriedums pieejams šeit: https://likumi.lv/ta/id/326879-par-ministru-kabineta-2017-gada-7-februara-noteikumu-nr-78-dabasgazes-tirdzniecibas-un-lietosanas-noteikumi-88-punkta-redakcija-kas-bija-speka-lidz-2021-gada-12-augustam-un-89-punkta-redakcija-kas-bija-speka-lidz-2020-gada-24-janvarim-atbilstibu-latvijas-republikas-satversmes-64-un-105-pantam-un-energetikas-likuma-107-panta-septitajai-dal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Maksājamās daļas noteikšana par kvadrātmetru ar maksimālo enerģijas patēriņu paredzēta tikai gadījumos, kad dzīvokļa īpašnieks nav ļāvis veikt pārbaudi vai konstatēts faktiski veiktas pārkāpums. Praksē piemēram tas nozīmē situāciju, ka pārvaldniekam vai personai, kura aprēķina maksājamo daļu, saņemot rēķinu par kopējo mājai piegādāto siltumenerģiju un veicot katra dzīvokļa maksājamās daļas aprēķinu, rodas aizdomas par iespējamo iekārtu vai ierīču bojājumu vai kādu nelikumīgu darbību. Pārvaldniekam pienākums veikt pārbaudi, lai nodrošinātu, ka patērētā siltumenerģija tiek godīgi sadalīta atbilstoši metodikai un katra dzīvokļa faktiskajam patēriņam. Ja dzīvokļa īpašnieks neļauj dzīvoklī veikt pārbaudi vai tās laikā tiek konstatēts, ka veiktas nelikumīgas darbības, kas tiek attiecīgi dokumentēts, tikai pēc šo apstākļu iestāšanās un faktiski konstatēto pārkāpumu, iestājas nosacījums par citu maksājamās daļas aprēķina principu. Gadījumā, ja ierīce vai iekārta ir bojāta neapzināti vai tā nav dzīvokļa īpašnieka vaina un viņš sadarbojas, ļauj veikt sistēmu pārbaudi un remontu, tad netiek piemērots 19.</w:t>
            </w:r>
            <w:r w:rsidR="00000000" w:rsidRPr="00000000" w:rsidDel="00000000">
              <w:rPr>
                <w:vertAlign w:val="superscript"/>
                <w:rtl w:val="0"/>
              </w:rPr>
              <w:t xml:space="preserve">6 </w:t>
            </w:r>
            <w:r w:rsidR="00000000" w:rsidRPr="00000000" w:rsidDel="00000000">
              <w:rPr>
                <w:rtl w:val="0"/>
              </w:rPr>
              <w:t xml:space="preserve">3.apakšpunktā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norādītajā Satversmes tiesas spriedumā strīds ir ar pašu pakalpojuma piegādātāju un miētais gāzes patēriņš bija balstīts uz pieņēmumu. Minētā punkta tvērumā, visai dzīvojamajai mājai tiek piegādāta enerģija un siltumenerģijas ražotājam nav saistoši, kā tiek sadalīts maksājums. Noteiktais maksimālais patēriņš balstās uz faktisko, kas tiek noteikts salīdzinot ar patēriņiem citos dzīvokļos. Potenciālais strīds ir jautājumā, kā iespējami taisnīgi sadalīt kopējo enerģijas patēriņu, konstatējot kāda dzīvokļa īpašnieka negodprātīgu rīcību un cik lielā mērā pārējiem īpašniekiem jāmaksā par šo. Ja negodprātīgs dzīvokļa īpašnieks, veicot manipulācijas ar ierīcēm vai iekārtu, maksā mazāk nekā faktiski patērējis, tas nav samērīgi pret pārējiem dzīvokļu īpašniekiem, kuriem būs pienākums katram proporcionāli maksāt konkrētā īpašnieka patērēto daļu. Noteikumu 19.</w:t>
            </w:r>
            <w:r w:rsidR="00000000" w:rsidRPr="00000000" w:rsidDel="00000000">
              <w:rPr>
                <w:vertAlign w:val="superscript"/>
                <w:rtl w:val="0"/>
              </w:rPr>
              <w:t xml:space="preserve">5 </w:t>
            </w:r>
            <w:r w:rsidR="00000000" w:rsidRPr="00000000" w:rsidDel="00000000">
              <w:rPr>
                <w:rtl w:val="0"/>
              </w:rPr>
              <w:t xml:space="preserve">punktā noteikts, ka dzīvojamās mājas īpašniekiem aprēķinātais siltumenerģijas patēriņš nedrīkst pārsniegt dzīvojamai mājai piegādāto siltumenerģijas apjomu. Tādējādi negodprātīgajam dzīvokļa īpašniekam, aprēķinot maksājamās daļu par siltumenerģiju, primāri jāpiemēro formula, kad no kopējā piegādātā siltuma daudzuma mājai tiks atņemts ar pārējo dzīvokļu īpašnieku individuālajām uzskaites ierīcēm patērētais, un sekundāri tiks definēts esošais maksimālais enerģijas patēriņš uz kvadrātmetra (faktiski iespējamais konkrētās daudzdzīvokļu mājas kādā dzīvoklī), reizinot ar dzīvokļa platību. Līdz ar to iegūtā maksājamā daļa ir ierobežojoša saskaņā ar Noteikumu 19. </w:t>
            </w:r>
            <w:r w:rsidR="00000000" w:rsidRPr="00000000" w:rsidDel="00000000">
              <w:rPr>
                <w:vertAlign w:val="superscript"/>
                <w:rtl w:val="0"/>
              </w:rPr>
              <w:t xml:space="preserve">5 </w:t>
            </w:r>
            <w:r w:rsidR="00000000" w:rsidRPr="00000000" w:rsidDel="00000000">
              <w:rPr>
                <w:rtl w:val="0"/>
              </w:rPr>
              <w:t xml:space="preserve">punktu un noteiktās sekas ir samērīgas, netiek pārkāptas pārējo dzīvokļu īpašnieku tiesības un netiek uzlikts pienākums maksāt par konkrēta dzīvokļa īpašnieka negodprātīgu rīcību un vairāk patērēto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papildināts anotācijas 1.3.apakšsadaļā.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daļas "Pamatojums" sadaļā "Apraksts" minēts, ka: "Uzskaitīto siltumenerģijas uzskaites (sadales) iespēju papildināšanas ar siltumenerģijas patēriņa noteikšanas sistēmu iniciatīva ir balstīta uz minētās sistēmas izstrādātāju ierosinājumu (skat. https://www.ecengo.lv/ ). Jaunās sadales sistēmas novērtējumu veica Valsts zinātniskais institūts - atvasināta publiska persona „Elektronikas un datorzinātņu institūts” reģ. Nr.90002135242.SIA "Latvijas nacionālais metroloģijas centrs" 2023.gada 7.jūlijā ir izsniedzis Kalibrēšanas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Rūpnieciskais pētījums īstenots Latvijas Investīciju un attīstības aģentūras administrētās atbalsta programmas “Inovāciju vaučeru atbalsta pakalpojumi” ietvaros. Rezumējot pētnieku paveikto, ir secināts, ka siltumenerģijas patēriņa noteikšanas sistēma, tostarp tās pielietošanas metodika nodrošina caurspīdīgu, uz faktiskā patēriņa telpās bāzētu siltumenerģijas maksas sadalīšanu un var tikt ieteikta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norādītajā mājas lapas adresē (https://www.ecengo.lv/ ) ir demonstrēta siltumenerģijas patēriņa noteikšanas sistēmas shēma (attēlojums), bet nav sniegta siltumenerģijas patēriņa noteikšanas sistēmas aprēķina metode enerģijas patēriņa sadalīšanai pa patērētājiem, balstoties uz periodiski fiksētajiem mērījumu datiem, lūdzam papildināt anotāciju ar informāciju par to, kur var iepazīties ar siltumenerģijas patēriņa noteikšanas sistēmas aprēķina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papildināti, ar norādi uz Noteikumu 23.-27.pielikumiem.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aprēķina maksājamo daļu, vai saskaņā ar dzīvojamās mājas īpašnieku lēmumu citai pilnvarotajai personai ir tiesības pārbaudīt dzīvoklī, nedzīvojamā telpā vai mākslinieka darbnīcā uzstādīto individuālā siltumenerģijas patēriņa ierīču (tai skaitā siltuma maksas sadalītāju un siltumenerģijas patēriņa noteikšanas sistēmas sensoru)  rādījumus, darbību un plombu tehnisko stāvokli, kā arī par saviem līdzekļiem veikt skaitītāja pirmstermiņa verificēšanu, nomaiņu.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(Patērētāju tiesību aizsardzības centrs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secina, ka ar Noteikumu Nr.524 grozījumiem siltumenerģijas patēriņa noteikšanas sistēmas sensoriem (turpmāk – Temperatūras sensori), kā arī siltumenerģijas uzskaites (sadales) sistēmai (turpmāk – Siltumenerģijas uzskaites sistēma) ir paredzēts piemērot likuma “Par mērījumu vienotību” prasības. Vēršam uzmanību, ka atbilstoši Ministru kabineta 2024. gada 14. maija noteikumi Nr. 40 " Noteikumi par valsts metroloģiskajai kontrolei pakļauto mērīšanas līdzekļu sarakstu" pielikumā norādītajam, Temperatūras sensori un Siltumenerģijas uzskaites sistēma nav pakļauta valsts metroloģiskajai kontrolei, līdz ar to nav piemērojamas normatīvajos aktos par mērījumu vienotību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Nr.524 3.punktā nav skaidri nodalīts, kādiem skaitītājiem par saviem līdzekļiem var veikt pirmstermiņa verificēšanu,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PTAC aicina Noteikumos Nr.524 skaidri definēt un nodalīt prasības kādas piemērojamas – siltumenerģijas skaitītājiem, siltuma maksas sadalītājiem, siltumenerģijas patēriņa noteikšanas sistēmas sensoriem un siltumenerģijas uzskaites (sadales)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Noteikumu Nr.524 redakcijas 3.</w:t>
            </w:r>
            <w:r w:rsidR="00000000" w:rsidRPr="00000000" w:rsidDel="00000000">
              <w:rPr>
                <w:vertAlign w:val="superscript"/>
                <w:rtl w:val="0"/>
              </w:rPr>
              <w:t xml:space="preserve">1 </w:t>
            </w:r>
            <w:r w:rsidR="00000000" w:rsidRPr="00000000" w:rsidDel="00000000">
              <w:rPr>
                <w:rtl w:val="0"/>
              </w:rPr>
              <w:t xml:space="preserve">punktā ir kļūdaina atsauce uz Noteikumu Nr.524 6.</w:t>
            </w:r>
            <w:r w:rsidR="00000000" w:rsidRPr="00000000" w:rsidDel="00000000">
              <w:rPr>
                <w:vertAlign w:val="superscript"/>
                <w:rtl w:val="0"/>
              </w:rPr>
              <w:t xml:space="preserve">2 </w:t>
            </w:r>
            <w:r w:rsidR="00000000" w:rsidRPr="00000000" w:rsidDel="00000000">
              <w:rPr>
                <w:rtl w:val="0"/>
              </w:rPr>
              <w:t xml:space="preserve">punktu saistībā ar skaitītāja (siltumenerģijas skaitītājs) atkārtotās verificēšanas periodiskumu. Noteikumu Nr.524 6.</w:t>
            </w:r>
            <w:r w:rsidR="00000000" w:rsidRPr="00000000" w:rsidDel="00000000">
              <w:rPr>
                <w:vertAlign w:val="superscript"/>
                <w:rtl w:val="0"/>
              </w:rPr>
              <w:t xml:space="preserve">2 </w:t>
            </w:r>
            <w:r w:rsidR="00000000" w:rsidRPr="00000000" w:rsidDel="00000000">
              <w:rPr>
                <w:rtl w:val="0"/>
              </w:rPr>
              <w:t xml:space="preserve">punkts nosaka atkārtotās verificēšanas periodiskuma prasības ūdens patēriņa skaitītājiem. Esošajā redakcijā atsauce uz siltumenerģijas skaitītāju verificēšanas periodiskumu ir Noteikumu Nr.524 19.</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aprēķina maksājamo daļu, vai saskaņā ar dzīvojamās mājas īpašnieku lēmumu citai pilnvarotajai personai ir tiesības pārbaudīt dzīvoklī, nedzīvojamā telpā vai mākslinieka darbnīcā uzstādīto individuālā siltumenerģijas skaitītāju (tai skaitā siltuma maksas sadalītāju un siltumenerģijas patēriņa noteikšanas sistēmas sensoru)  rādījumus, darbību un plombu tehnisko stāvokli, kā arī par saviem līdzekļiem veikt siltumenerģijas skaitītāja pirmstermiņa verificēšanu, nomaiņu.”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3.punkts izteikts piedāvātajā redakcijā. Veikts labojums atsaucei uz 6.</w:t>
            </w:r>
            <w:r w:rsidR="00000000" w:rsidRPr="00000000" w:rsidDel="00000000">
              <w:rPr>
                <w:vertAlign w:val="superscript"/>
                <w:rtl w:val="0"/>
              </w:rPr>
              <w:t xml:space="preserve">2 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aprēķina maksājamo daļu, vai saskaņā ar dzīvojamās mājas īpašnieku lēmumu citai pilnvarotajai personai ir tiesības pārbaudīt dzīvoklī, nedzīvojamā telpā vai mākslinieka darbnīcā uzstādīto ūdens patēriņa skaitītāju un siltumenerģijas skaitītāju (tai skaitā siltuma maksas sadalītāju un siltumenerģijas patēriņa noteikšanas sistēmas, izmantojot tiešsaistē periodiski fiksētus siltumnesēja caurplūdes un apkures cauruļvadu virsmu temperatūras datus (turpmāk - siltumenerģijas patēriņa noteikšanas sistēma), sensoru)  rādījumus, darbību un plombu tehnisko stāvokli, kā arī par saviem līdzekļiem veikt minēto ierīču vai iekārtu pirmstermiņa verificēšanu vai nomaiņu.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un normatīvajos aktos par mērījumu vienotību noteikto prasību ievērošanu (šo noteikumu 19.1.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namu pārvaldnieks"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Siltumenerģijas skaitītāji ir pakļauti valsts metroloģiskai kontrolei un tiem ir saistošas prasības, kas izriet no likuma “Par mērījumu vienotību”.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 maksas sadalītājiem ir saistošs standarts LVS EN 834:2013 “Siltumenerģijas patēriņa noteicēji dzīvokļa apsildes radiatoriem. Ierīces ar elektroenerģijas avotu” un LVS NE 834+AC:2021 “Siltumenerģijas patēriņa noteicēji dzīvokļa apsildes radiatoriem. Ierīces ar elektroenerģijas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anotācijā minēts, ka Jaunā patēriņa noteikšanas sistēma sastāv no piecām daļām, Noteikumu projektā nav noteikts, kādas prasības tiek izvirzītas un kādām ir jāatbilst Jaunajai patēriņa noteikšanas sistēmai, kā notiks tās darbības atbilstības noteikšana, lai dzīvokļu īpašnieki un dzīvojamo māju pārvaldnieki varētu pārliecināties, ka tirgū piedāvātās ierīces būs atbilstošas un uzskatāma par Jaunā patēriņa noteikšanas sistēmu un individuālais siltumenerģijas patēriņš tiks noteikts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precizēts,  ka siltumenerģijas patēriņa noteikšanas sistēma atbilst dzīvojamās mājas īpašnieku un radioiekārtu regulējumā noteiktajām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un normatīvajā aktā par radioiekārtu atbilstības novērtēšanas, piedāvāšanas tirgū, uzstādīšanas, lietošanas un uzraudzības noteikto prasību ievērošanu (šo noteikumu 19.</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3. dzīvojamās mājas īpašniekam, kurš nav ļāvis veikt siltumenerģijas patēriņa noteikšanas sistēmas sensoru uzstādīšanu, pārbaudi, nomaiņu (šo noteikumu 3. punkts), vai, ja konstatēts, ka siltumenerģijas patēriņa noteikšanas sistēmas sensors ir bojāts vai patvarīgi aizstāts, vai noņemts, vai ietekmēta siltumenerģijas patēriņa noteikšanas sistēmas darbība, maksājamās daļas noteikšanu par kvadrātmetru, kura ir līdzvērtīga dzīvokļiem, nedzīvojamām telpām un mākslinieka darbnīcām ar maksimālo enerģijas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tam, kāpēc projekta punktā paredzēts, ka dzīvojamās mājas īpašniekam, kurš nav ļāvis veikt siltumenerģijas patēriņa noteikšanas sistēmas sensoru uzstādīšanu, pārbaudi, nomaiņu, vai, ja konstatēts, ka siltumenerģijas patēriņa noteikšanas sistēmas sensors ir bojāts vai patvarīgi aizstāts, vai noņemts, vai ietekmēta siltumenerģijas patēriņa noteikšanas sistēmas darbība, maksājamās daļas noteikšanu par kvadrātmetru, kura ir līdzvērtīga dzīvokļiem, nedzīvojamām telpām un mākslinieka darbnīcām ar </w:t>
            </w:r>
            <w:r w:rsidR="00000000" w:rsidRPr="00000000" w:rsidDel="00000000">
              <w:rPr>
                <w:u w:val="single"/>
                <w:rtl w:val="0"/>
              </w:rPr>
              <w:t xml:space="preserve">maksimālo enerģijas patēriņu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anotācijas 1.1.punktā.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3. dzīvojamās mājas īpašniekam, kurš nav ļāvis veikt siltumenerģijas patēriņa noteikšanas sistēmas sensoru uzstādīšanu, pārbaudi, nomaiņu (šo noteikumu 3. punkts), vai, ja konstatēts, ka siltumenerģijas patēriņa noteikšanas sistēmas sensors ir bojāts vai patvarīgi aizstāts, vai noņemts, vai ietekmēta siltumenerģijas patēriņa noteikšanas sistēmas darbība, maksājamās daļas noteikšanu par kvadrātmetru, kura ir līdzvērtīga dzīvokļiem, nedzīvojamām telpām un mākslinieka darbnīcām ar maksimālo enerģijas patēriņu;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ierīce nav ar CE atbilstības marķējumu un nav veikta produkta  atbilstības novērtēšana saistošajam normatīvajam regulējumam attiecībā uz mērīšanas līdzekļu prasībām vai radioiekārtu regulējumā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namu pārvaldnieks"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siltumenerģijas patēriņu nevar mērīt ar jebkuru ierīci, kas atbilst radioiekārtu regulējumā noteiktajām prasībām (Noteikumu projekta 11.punktā ietvertā 33.2.apakšpunkta redakcija) un attiecībā, uz kuru tās ražotājs pats ir apliecinājis, ka viņa produkts ir atbilstošs, un uzlicis CE atbilstības marķējuma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 zīme nenorāda, ka Eiropas savienība vai autorizēta tās iestāde produktu ir apstiprinājusi kā drošu un atbilstošu.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savā līdzšinējā darbībā jau ir saskārusies ar gadījumiem, kad dzīvokļu īpašnieki individuālā siltumenerģijas patēriņa noteikšanas nolūkos savos dzīvokļos ir uzstādījuši tirgū esošas ierīces, kuru funkcionalitāte un atbilstība nav pierādāma un tehniskā informācija nav pieejama ne dzīvokļu īpašniekiem, ne pārvaldniekam, līdz ar to rodas daudz strīdu starp ieinteresētajām pusēm, neskaidrības par to darbību un tās faktiski nav izmantojamas.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Noteikumu projekta 11.punktā ietvertā 33.2.apakšpunkta saturu, kā arī papildināt to ar vārdiem “patērētājiem, kas uzstādījuši ierīci, nav pieejami ierīces tehniskie dokumenti, lietošanas instrukcija un dokuments, kas apliecina ierīces atbilstību prasībām, kas noteiktas standartā”.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33.2.punkts saskaņā ar PTAC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ierīce, kam paredzēta attālinātā informācijas nolasīšana, nav ar CE atbilstības marķējumu un nav veikta produkta atbilstības novērtēšana atbilstoši normatīvajā aktā par radioiekārtu atbilstības novērtēšanas, piedāvāšanas tirgū, uzstādīšanas, lietošanas un uzraudzības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8.1.3., 8.1.6. un 8.1.7. ietekmes aprakstā no "ūdens zudumus" uz "enerģijas zudumus" vai "enerģijas un ūdens zudumus"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 ūdens zudumi uz siltumenerģijas zudumi.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namu pārvaldnieks”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kurā iestādē patērētāji un to pilnvarotās personas varēs vērsties, lai saņemtu informāciju, vai komersantu piedāvātās ierīces un sistēmas ir derīgas siltumenerģijas patēriņa mērīšanai un atbilst Noteikumu projektā minētajai Jaunajai patēriņa noteikšanas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uzraudzības jautājumu, šādi grozījumi izdodami atbilstoši pilnvarojumam, ko neparedz izskatāmie noteikumi, tādēļ netiek paplašinātas iestāžu funkcijas minētajā jautājumā. Anotācija papildināta ar skaidrojumu par patērētās siltumenerģijas daudzuma noteikšanai izmantotās ierīces vai iekārtas izvērtēšanas kārtību dzīvokļu īpašnieku kopībai un pārvaldniekam.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namu pārvaldnieks"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šī iniciatīva ir balstīta uz minētās sistēmas izstrādātāju ierosinājumu, kas nozīmē, ka, lai izvairītos no situācijas, ka normatīvais akts tiek pieņemts tikai viena komersanta interesēs un nepamatoti ierobežojot konkurenci, lūdzam anotāciju papildināt ar informāciju, vai Jaunā patēriņa noteikšanas sistēmas atbilstību ir vērtējuši neatkarīgi eksperti, kā arī vai ir veiktas konsultācijas ar neatkarīgiem nozares ekspertiem par alternatīviem, inovatīviem risinājumiem siltumenerģijas patēriņa noteikšanai telpās, kas nav tikai un vienīgi saistīti ar “periodiski fiksētus siltumnesēja caurplūdes un apkures cauruļvadu virsmu temperatūras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turpmāk no neskaidrībām un iespējamas negodīgas komercprakses, piedāvājot dzīvokļu īpašniekiem uzstādīt kādas ierīces un piedēvējot tām īpašības, kas faktiski nepastāv un ar kurām pēc būtības nevar noteikt siltumenerģijas patēriņu vai veikt siltuma maksas sadali, nepieciešams papildināt anotāciju ar detalizētu skaidrojumu, ar ko atšķiras Jaunā patēriņa noteikšanas sistēma no Noteikumos minētajiem siltuma maksas sadalītājiem, kā arī Noteikumu projektā ietvert norādi uz konkrētiem normatīviem aktiem saistībā ar tehniskām prasībām vai standartiem, kuri būs saistoši vai kuriem ir pakļauta Jaunā patēriņa noteikšanas sistēma un tās sastāvā esošās ierīces.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Jaunās patēriņa noteikšanas sistēmas ieviešana radīs dzīvokļu īpašniekiem un lietotājiem tehniskas rakstura jautājumus un neskaidrības, un dzīvojamo māju pārvaldniekiem būs jāspēj noteikt, vai konkrētā ierīce vispār ir izmantojuma siltumenerģijas patēriņa noteikšanai, lūdzam papildināt Noteikumu projekta anotāciju ar informāciju, kurā iestādē patērētāji un to pilnvarotās personas varēs vērsties, lai saņemtu informāciju vai komersantu piedāvātās ierīces un sistēmas ir derīgas siltumenerģijas patēriņa mērīšanai un atbilst Noteikumu projektā minētajai Jaunajai patēriņa noteikšanas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1.1.punktā ir sniegts izklāts un informācija par atzinumiem par siltumenerģijas patēriņa noteikšanas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kopumā atbalsta Ekonomikas ministrijas (turpmāk – EM) izstrādātos grozījumus Ministru kabineta 2015. gada 15. septembra noteikumos Nr. 524 "Kārtība, kādā nosaka, aprēķina un uzskaita katra dzīvojamās mājas īpašnieka maksājamo daļu par dzīvojamās mājas uzturēšanai nepieciešamajiem pakalpojumiem" (turpmāk – Noteikumi) (turpmāk –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Grozījumus saskaņot ar tirgus dalībniekiem – apsaimniekotājiem un tos pārstāvošām nevalstiskajām organizācijām, skaidrojot Noteikumu 23. punkta faktisko piemērošanas kārtību, proti, veidu, kādā iespējams izvēlēties Noteikumos neminētās siltumenerģijas patēriņa metodikas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paskaidro, kaut arī iespēja izmantot cita veida uzskaites ierīces aprēķinu veikšanai par saņemto siltumenerģiju pastāvēja jau šobrīd, KP ir saskārusies ar situāciju ka apsaimniekotāji nereti faktiski Noteikumus interpretēja nosakot, ka dzīvokļu īpašnieki nav pilnvaroti un nevar pieņemt lēmumu, ka siltumenerģijas uzskaitei un maksājamās daļas noteikšanai tiks izmantota ierīce, kas nav siltumenerģijas skaitītājs vai nav siltuma maksas sadalītājs jeb alokators atbilstoši standarta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KP aicina novērst gramatisko neprecizitāti Noteikumu 23. punktā: “[..] no kopējā dzīvokļu,  nedzīvojamo telpu un mākslinieku darbnīcu skaita dzīvojamā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sniegšanai grozījumi tika nosūtīti biedrībai '"Latvijas siltumuzņēmumu asociācija", Latvijas Pašvaldību savienībai, Latvijas Namu pārvaldītāju un apsaimniekotāju asociācijai. Gramatiskā neprecizitāte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izmantoto terminoloģiju 2.1, 2.2.3., 2.2.4., 8.1.3., 8.1.6., 8.1.7. - vai "attālināti nolasāmas ierīces" un "attālināti nolasāmas individuālo siltumenerģijas patēriņa uzskaites ierīces" ir attiecināms uz Noteikumu projektā minēto siltumenerģijas patēriņa noteikšanas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precizēta un anotācijas 1.1.punktā papildināts ar norādi, ka siltumenerģijas patēriņa noteikšanas sistēma satur attālināti nolasāmas iekārtas (ierīces/temperatūras sensorus).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ietekmes aprakstu un pielāgot to ar 1.1. Pamatojuma aprakstā minētajiem ieguvumiem un darbības principiem, izvēloties siltumenerģijas patēriņa noteikšanas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ietekmes apraksts anotācijas 2.1.punktā.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5.1.sadaļā ir norādīts par 2023.gada 13.septembra Eiropas Parlamenta un Padomes direktīvas (ES) 2023/1791 par energoefektivitāti un ar ko groza Regulu (ES) 2023/955 (pārstrādātā redakcija) 14.panta 1.punkta, 15.panta 1. un 3.punkta, 16.panta un 18.panta 1.punkta transponēšanu, bet anotācijas 5.4.sadaļas 1.tabulā nav informācija par minētās direktīvas 16.pantu.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pārrakstīšanās kļūda, norādot direktīvas 16.pantu.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 ir pārņemts tiesību akta projektā 2023. gada 13. septembra Eiropas Parlamenta un Padomes direktīvas (ES) 2023/1791 par energoefektivitāti un ar ko groza Regulu (ES) 2023/955 (pārstrādātā redakcija) (turpmāk – Direktīva 2023/1791) </w:t>
            </w:r>
            <w:r w:rsidR="00000000" w:rsidRPr="00000000" w:rsidDel="00000000">
              <w:rPr>
                <w:b w:val="1"/>
                <w:rtl w:val="0"/>
              </w:rPr>
              <w:t xml:space="preserve">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5.4.sadaļas 1.tabulā </w:t>
            </w:r>
            <w:r w:rsidR="00000000" w:rsidRPr="00000000" w:rsidDel="00000000">
              <w:rPr>
                <w:i w:val="1"/>
                <w:rtl w:val="0"/>
              </w:rPr>
              <w:t xml:space="preserve">Tiesību akta projekta atbilstība ES tiesību aktiem</w:t>
            </w:r>
            <w:r w:rsidR="00000000" w:rsidRPr="00000000" w:rsidDel="00000000">
              <w:rPr>
                <w:rtl w:val="0"/>
              </w:rPr>
              <w:t xml:space="preserve"> </w:t>
            </w:r>
            <w:r w:rsidR="00000000" w:rsidRPr="00000000" w:rsidDel="00000000">
              <w:rPr>
                <w:b w:val="1"/>
                <w:rtl w:val="0"/>
              </w:rPr>
              <w:t xml:space="preserve">nav minēta </w:t>
            </w:r>
            <w:r w:rsidR="00000000" w:rsidRPr="00000000" w:rsidDel="00000000">
              <w:rPr>
                <w:rtl w:val="0"/>
              </w:rPr>
              <w:t xml:space="preserve">2023. gada 13. septembra Eiropas Parlamenta un Padomes direktīvas (ES) 2023/1791 par energoefektivitāti un ar ko groza Regulu (ES) 2023/955 (pārstrādātā redakcija) (turpmāk – Direktīva 2023/1791)</w:t>
            </w:r>
            <w:r w:rsidR="00000000" w:rsidRPr="00000000" w:rsidDel="00000000">
              <w:rPr>
                <w:b w:val="1"/>
                <w:rtl w:val="0"/>
              </w:rPr>
              <w:t xml:space="preserve">16. panta pārņemšana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pārrakstīšanās kļūda, norādot direktīvas 16.pantu.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Tabulā 1 </w:t>
            </w:r>
            <w:r w:rsidR="00000000" w:rsidRPr="00000000" w:rsidDel="00000000">
              <w:rPr>
                <w:i w:val="1"/>
                <w:rtl w:val="0"/>
              </w:rPr>
              <w:t xml:space="preserve">Tiesību akta projekta atbilstība ES tiesību aktiem</w:t>
            </w:r>
            <w:r w:rsidR="00000000" w:rsidRPr="00000000" w:rsidDel="00000000">
              <w:rPr>
                <w:rtl w:val="0"/>
              </w:rPr>
              <w:t xml:space="preserve">, ka ir pārņemts 2023. gada 13. septembra Eiropas Parlamenta un Padomes direktīvas (ES) 2023/1791 par energoefektivitāti un ar ko groza Regulu (ES) 2023/955 (pārstrādātā redakcija) (turpmāk – Direktīva 2023/1791) </w:t>
            </w:r>
            <w:r w:rsidR="00000000" w:rsidRPr="00000000" w:rsidDel="00000000">
              <w:rPr>
                <w:b w:val="1"/>
                <w:rtl w:val="0"/>
              </w:rPr>
              <w:t xml:space="preserve">18. panta 1.punkts</w:t>
            </w:r>
            <w:r w:rsidR="00000000" w:rsidRPr="00000000" w:rsidDel="00000000">
              <w:rPr>
                <w:rtl w:val="0"/>
              </w:rPr>
              <w:t xml:space="preserve">, attiecīgi, kā tas ir norādīts 5.1.sadaļā.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ar informāciju par sabiedrības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nosaka, aprēķina un uzskaita katra dzīvojamās mājas īpašnieka maksājamo daļu par dzīvojamās mājas uzturēšanai nepieciešamajiem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aicina izvērtēt nepieciešamību iekļaut noteikumos priekšnoteikumus par radiatoriem ar aprīkotiem termoregulatoriem, daudzdzīvokļu dzīvojamās mājās, kuras vēlas uzstādīt alokatorus vai siltumenerģijas patēriņa noteikšanas sistēmu, izmantojot tiešsaistē periodiski fiksētus siltumnesēja caurplūdes un apkures cauruļvadu virsmu temperatūras datus dzīvokļos, līdz ar to patērētājs varētu samazināt sev nepieciešamo enerģijas patēriņu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PTAC aicina izvērtēt nepieciešamību paredzēt uzraudzības procesu no valsts puses siltumenerģijas uzskaites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radiatoriem ņemts vērā, noteikumu projektā iekļaujot to 33.3.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uzraudzības jautājumu, šādi grozījumi izdodami atbilstoši pilnvarojumam, ko neparedz izskatāmie noteikumi, tādēļ netiek paplašinātas iestāžu funkcijas minētajā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nosaka, aprēķina un uzskaita katra dzīvojamās mājas īpašnieka maksājamo daļu par dzīvojamās mājas uzturēšanai nepieciešamajiem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aprēķina maksājamo daļu, vai saskaņā ar dzīvojamās mājas īpašnieku lēmumu citai pilnvarotajai personai ir tiesības pārbaudīt dzīvoklī, nedzīvojamā telpā vai mākslinieka darbnīcā uzstādīto individuālā siltumenerģijas skaitītāju (tai skaitā siltuma maksas sadalītāju un siltumenerģijas patēriņa noteikšanas sistēmas sensoru)  rādījumus, darbību un plombu tehnisko stāvokli, kā arī par saviem līdzekļiem veikt siltumenerģijas skaitītāja pirmstermiņa verificēšanu, nomaiņu.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namu pārvaldnieks”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minētā 3.punkta un 3.1 punkta jaunās redakcijas sašaurina šo punktu saturu un attieksies tikai uz siltumenerģijas patēriņa uzskaiti, bet spēkā esošo Noteikumu 3.punkta un 3.1 punkta saturs ir plašāks un attiecās arī uz ūdens skaitītājiem, lūdzam precizēt šo punktu jaunās redakcijas, neizslēdzot no to satura ūdens skaitītājus.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ietverot ūdens skaitītājus.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aprēķina maksājamo daļu, vai saskaņā ar dzīvojamās mājas īpašnieku lēmumu citai pilnvarotajai personai ir tiesības pārbaudīt dzīvoklī, nedzīvojamā telpā vai mākslinieka darbnīcā uzstādīto ūdens patēriņa skaitītāju un siltumenerģijas skaitītāju (tai skaitā siltuma maksas sadalītāju un siltumenerģijas patēriņa noteikšanas sistēmas, izmantojot tiešsaistē periodiski fiksētus siltumnesēja caurplūdes un apkures cauruļvadu virsmu temperatūras datus (turpmāk - siltumenerģijas patēriņa noteikšanas sistēma), sensoru)  rādījumus, darbību un plombu tehnisko stāvokli, kā arī par saviem līdzekļiem veikt minēto ierīču vai iekārtu pirmstermiņa verificēšanu vai nomaiņu.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aprēķina maksājamo daļu, vai saskaņā ar dzīvojamās mājas īpašnieku lēmumu citai pilnvarotajai personai ir tiesības pārbaudīt dzīvoklī, nedzīvojamā telpā vai mākslinieka darbnīcā uzstādīto individuālā siltumenerģijas patēriņa ierīču (tai skaitā siltuma maksas sadalītāju un siltumenerģijas patēriņa noteikšanas sistēmas sensoru)  rādījumus, darbību un plombu tehnisko stāvokli, kā arī par saviem līdzekļiem veikt skaitītāja pirmstermiņa verificēšanu, nomaiņu.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namu pārvaldnieks"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(Noteikumu projekta 1., 3.punkts), ka turpmāk individuālā siltumenerģijas patēriņa noteikšanai varēs izmantot ne tikai siltumenerģijas skaitītājus un sadalītājus, bet arī “siltumenerģijas patēriņa noteikšanas sistēmu, kas izmanto tiešsaistē periodiski fiksētus siltumnesēja caurplūdes un apkures cauruļvadu virsmu temperatūras datus, siltumenerģijas patēriņa noteikšanas sistēmas sensoru” (turpmāk - Jaunā patēriņa noteikšanas sistēma), kas ir pretrunā ar spēkā esošo normatīvo regulējumu par siltumenerģijas patēriņa uzskaiti dzīvojamās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2008.gada 21.oktobra noteikumu Nr.876 “Siltumenerģijas piegādes un lietošanas noteikumi” 36.</w:t>
            </w:r>
            <w:r w:rsidR="00000000" w:rsidRPr="00000000" w:rsidDel="00000000">
              <w:rPr>
                <w:vertAlign w:val="superscript"/>
                <w:rtl w:val="0"/>
              </w:rPr>
              <w:t xml:space="preserve">4 </w:t>
            </w:r>
            <w:r w:rsidR="00000000" w:rsidRPr="00000000" w:rsidDel="00000000">
              <w:rPr>
                <w:rtl w:val="0"/>
              </w:rPr>
              <w:t xml:space="preserve">1. punktā noteikts, ka dzīvokļu īpašnieku kopība vai tās pilnvarotā persona, kura darbojas visu dzīvojamās mājas īpašnieku vārdā, sadala piegādātāja izrakstītajā rēķinā noteikto maksājumu par patērēto siltumenerģiju starp dzīvokļu īpašumu īpašniekiem, nodrošinot maksājuma par patērēto siltumenerģiju sadalīšanu, pamatojoties uz normatīvajos aktos par dzīvojamo māju pārvaldīšanu noteiktajām siltumenerģijas aprēķinu metodikām un ņemot vērā faktisko patēriņu, ja ir uzstādīti individuālie siltumenerģijas skaitītāji vai siltuma maksas sadalītāji.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Dzīvojamai mājai piegādātās siltumenerģijas daudzuma noteikšana un katra īpašnieka maksājamās daļas noteikšana notiek saskaņā ar Ministru kabineta noteikumiem Nr.524 “Kārtība, kādā nosaka, aprēķina un uzskaita katra dzīvojamās mājas īpašnieka maksājamo daļu par dzīvojamās mājas uzturēšanai nepieciešamajiem pakalpojumiem”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23.punktam ja, nosakot maksājamo daļu, tiek izmantota siltumenerģijas uzskaites (sadales) kārtība, kas nav minēta Noteikumu 19. punktā, dzīvojamās mājas īpašnieki var vienoties arī par citas, šo noteikumu pielikumos neminētas siltumenerģijas patēriņa metodikas izmantošanu, ja tiek ievēroti Noteikumu pielikumos minētajās metodikās noteiktie siltumenerģijas sadales aprēķinu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 ir pilnvaroti vienoties par “metodiku”, tomēr nevar pretēji Noteikumos paredzētajam pieņemt lēmumu, ka siltumenerģijas uzskaitei un maksājamās daļas noteikšanai tiks izmantota cita ierīce, kas nav siltumenerģijas skaitītājs vai nav siltuma maksas sadalītājs jeb alokators.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19.3., 19.4.apakšpunktos un 31.punktā minēto dzīvokļu īpašumos iespējama individuālo siltumenerģijas skaitītāju vai siltuma maksas sadalītāju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10.decembra noteikumu Nr.730 “Ekspluatējamu ēku energoefektivitātes minimālās prasības” 5.punkts paredz, ka daudzdzīvokļu dzīvojamā mājā patērētās siltumenerģijas uzskaitē izmanto attālināti nolasāmus individuālus siltumenerģijas patēriņa skaitītājus vai individuālus siltuma maksas sadalītājus katram sildelementam, ja individuālu siltumenerģijas patēriņa skaitītāju uzstādīšana nav tehniski iespējama vai nav ekonomiski pamatota. Individuālie siltumenerģijas patēriņa skaitītāji atbilst metroloģiskajām prasībām, kas noteiktas normatīvajos aktos par mērījumu vienotību, bet individuālie siltuma maksas sadalītāji – normatīvajiem aktiem par kārtību, kādā nosaka, aprēķina un uzskaita katra dzīvojamās mājas īpašnieka maksājamo daļu par dzīvojamās mājas uzturēšanai nepieciešamajiem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 spēkā esošajiem normatīvajiem tiesību aktiem izriet, ka individuāli patērētās siltumenerģijas uzskaitei un maksājamās daļas noteikšanai var izmantot divu veidu ierīces - siltumenerģijas skaitītājus vai siltuma maksas sadalītājus jeb alokatorus atbilstoši noteiktā standarta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10. decembra noteikumos Nr. 730 "Ekspluatējamu ēku energoefektivitātes minimālās prasības" vienlaicīgi sagatavots grozījumu projekts (Pases Nr. 24-TA-1244).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2008.gada 21.oktobra noteikumu Nr.876 “Siltumenerģijas piegādes un lietošanas noteikumi” (turpmāk – MKN Nr. 876) ir Klimata un enerģētikas ministrijas kompetencē. Klimata un enerģētikas ministrija ņem vērā SIA "Rīgas namu pārvaldnieks" iebildumu un  paredzētajos grozījumos MKN Nr. 876 izvērtēs iespēju precizēt attiecīgo punktu. Vienlaikus Klimata un enerģētikas ministrija vērš uzmanību, ka MKN Nr. 876 primāri nosaka kārtību, kādā energoapgādes komersanti piegādā un enerģijas lietotāji lieto  piegādāto siltumenerģiju līdz siltumapgādes sistēmas piederības robežai. Tālāko siltumapgādes sistēmas izmantošanu un maksājamo daļu nosaka citi nacionālie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aprēķina maksājamo daļu, vai saskaņā ar dzīvojamās mājas īpašnieku lēmumu citai pilnvarotajai personai ir tiesības pārbaudīt dzīvoklī, nedzīvojamā telpā vai mākslinieka darbnīcā uzstādīto ūdens patēriņa skaitītāju un siltumenerģijas skaitītāju (tai skaitā siltuma maksas sadalītāju un siltumenerģijas patēriņa noteikšanas sistēmas, izmantojot tiešsaistē periodiski fiksētus siltumnesēja caurplūdes un apkures cauruļvadu virsmu temperatūras datus (turpmāk - siltumenerģijas patēriņa noteikšanas sistēma), sensoru)  rādījumus, darbību un plombu tehnisko stāvokli, kā arī par saviem līdzekļiem veikt minēto ierīču vai iekārtu pirmstermiņa verificēšanu vai nomaiņu.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siltumenerģijas skaitītājs ir uzstādīts, neievērojot normatīvajos aktos par mērījumu vienotību (ja ir uzstādīts siltuma maksas sadalītājs – piemērojamā standartā) vai dzīvojamās mājas īpašnieku noteiktās prasības (attiecināmas arī uz siltumenerģijas patēriņa noteikšanas sistēmas sensoriem), vai arī patērētās siltumenerģijas daudzuma noteikšanai izmantotās ierīces vai iekārtas neatbilst minētajām prasībām, izdevumus, kas saistīti ar siltumenerģijas skaitītāju atkārtoto verificēšanu agrāk par verificēšanas sertifikātā vai šo noteikumu 19.</w:t>
            </w:r>
            <w:r w:rsidR="00000000" w:rsidRPr="00000000" w:rsidDel="00000000">
              <w:rPr>
                <w:vertAlign w:val="superscript"/>
                <w:rtl w:val="0"/>
              </w:rPr>
              <w:t xml:space="preserve">1</w:t>
            </w:r>
            <w:r w:rsidR="00000000" w:rsidRPr="00000000" w:rsidDel="00000000">
              <w:rPr>
                <w:rtl w:val="0"/>
              </w:rPr>
              <w:t xml:space="preserve"> punktā noteikto termiņu vai minēto ierīču vai iekārtu nomaiņu pareizu uzstādīšanu, sedz atbildīgais par patērētās siltumenerģijas daudzuma noteikšanai izmantojamo ierīču vai iekārtu uzstādīšanu (attiecīgi dzīvojamās mājas īpašnieks vai dzīvojamās mājas īpašnieku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pēc vārdiem “minēto ierīču vai iekārtu nomaiņu”, papildināt punkta tekstu ar saikli "un" vai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siltumenerģijas skaitītājs ir uzstādīts, neievērojot normatīvajos aktos par mērījumu vienotību (ja ir uzstādīts siltuma maksas sadalītājs – piemērojamā standartā) vai dzīvojamās mājas īpašnieku noteiktās prasības (attiecināmas arī uz siltumenerģijas patēriņa noteikšanas sistēmas sensoriem), vai arī patērētās siltumenerģijas daudzuma noteikšanai izmantotās ierīces vai iekārtas neatbilst minētajām prasībām, izdevumus, kas saistīti ar siltumenerģijas skaitītāju atkārtoto verificēšanu agrāk par verificēšanas sertifikātā vai šo noteikumu 19.</w:t>
            </w:r>
            <w:r w:rsidR="00000000" w:rsidRPr="00000000" w:rsidDel="00000000">
              <w:rPr>
                <w:vertAlign w:val="superscript"/>
                <w:rtl w:val="0"/>
              </w:rPr>
              <w:t xml:space="preserve">1</w:t>
            </w:r>
            <w:r w:rsidR="00000000" w:rsidRPr="00000000" w:rsidDel="00000000">
              <w:rPr>
                <w:rtl w:val="0"/>
              </w:rPr>
              <w:t xml:space="preserve"> punktā noteikto termiņu vai minēto ierīču vai iekārtu nomaiņu </w:t>
            </w:r>
            <w:r w:rsidR="00000000" w:rsidRPr="00000000" w:rsidDel="00000000">
              <w:rPr>
                <w:b w:val="1"/>
                <w:u w:val="single"/>
                <w:rtl w:val="0"/>
              </w:rPr>
              <w:t xml:space="preserve">vai</w:t>
            </w:r>
            <w:r w:rsidR="00000000" w:rsidRPr="00000000" w:rsidDel="00000000">
              <w:rPr>
                <w:rtl w:val="0"/>
              </w:rPr>
              <w:t xml:space="preserve"> pareizu uzstādīšanu, sedz atbildīgais par patērētās siltumenerģijas daudzuma noteikšanai izmantojamo ierīču vai iekārtu uzstādīšanu (attiecīgi dzīvojamās mājas īpašnieks vai dzīvojamās mājas īpašnieku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papildinot ar saikli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ūdens patēriņa skaitītājs vai siltumenerģijas skaitītājs ir uzstādīts, neievērojot normatīvajos aktos par mērījumu vienotību (ja ir uzstādīts siltuma maksas sadalītājs – piemērojamā standartā,  vai siltumenerģijas patēriņa noteikšanas sistēmas sensors - radioiekārtu atbilstības novērtēšanas, piedāvāšanas tirgū, uzstādīšanas, lietošanas un uzraudzības regulējumā) vai dzīvojamās mājas īpašnieku noteiktās prasības, vai arī patērētā ūdens vai siltumenerģijas daudzuma noteikšanai izmantotās ierīces vai iekārtas neatbilst minētajām prasībām, izdevumus, kas saistīti ar ūdens vai siltumenerģijas skaitītāju atkārtoto verificēšanu agrāk par verificēšanas sertifikātā vai šo noteikumu 6.</w:t>
            </w:r>
            <w:r w:rsidR="00000000" w:rsidRPr="00000000" w:rsidDel="00000000">
              <w:rPr>
                <w:vertAlign w:val="superscript"/>
                <w:rtl w:val="0"/>
              </w:rPr>
              <w:t xml:space="preserve">2 </w:t>
            </w:r>
            <w:r w:rsidR="00000000" w:rsidRPr="00000000" w:rsidDel="00000000">
              <w:rPr>
                <w:rtl w:val="0"/>
              </w:rPr>
              <w:t xml:space="preserve">un 19.</w:t>
            </w:r>
            <w:r w:rsidR="00000000" w:rsidRPr="00000000" w:rsidDel="00000000">
              <w:rPr>
                <w:vertAlign w:val="superscript"/>
                <w:rtl w:val="0"/>
              </w:rPr>
              <w:t xml:space="preserve">1</w:t>
            </w:r>
            <w:r w:rsidR="00000000" w:rsidRPr="00000000" w:rsidDel="00000000">
              <w:rPr>
                <w:rtl w:val="0"/>
              </w:rPr>
              <w:t xml:space="preserve"> punktā noteikto termiņu, un minēto ierīču vai iekārtu nomaiņu vai pareizu uzstādīšanu, sedz atbildīgais par patērētā ūdens vai siltumenerģijas daudzuma noteikšanai izmantojamo ierīču vai iekārtu uzstādīšanu (attiecīgi dzīvojamās mājas īpašnieks vai dzīvojamās mājas īpašnieku pilnvarotā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skaitītājs (tai skaitā siltuma maksas sadalītājs un siltumenerģijas patēriņa noteikšanas sistēmas sensors) ir uzstādīts, neievērojot normatīvajos aktos par mērījumu vienotību (ja ir uzstādīts siltuma maksas sadalītājs – piemērojamā standartā) vai dzīvojamās mājas īpašnieku noteiktās prasības, vai arī patērētās siltumenerģijas daudzuma noteikšanai izmantotās ierīces vai iekārtas neatbilst minētajām prasībām, izdevumus, kas saistīti ar minēto ierīču vai iekārtu atkārtoto verificēšanu vai nomaiņu agrāk par verificēšanas sertifikātā vai šo noteikumu 6.2. apakšpunktā noteikto termiņu vai pareizu uzstādīšanu, sedz atbildīgais par patērētās siltumenerģijas daudzuma noteikšanai izmantojamo ierīču vai iekārtu uzstādīšanu (attiecīgi dzīvojamās mājas īpašnieks vai dzīvojamās mājas īpašnieku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siltumenerģijas skaitītājs ir uzstādīts, neievērojot normatīvajos aktos par mērījumu vienotību (ja ir uzstādīts siltuma maksas sadalītājs – piemērojamā standartā) vai dzīvojamās mājas īpašnieku noteiktās prasības (attiecināmas arī uz siltumenerģijas patēriņa noteikšanas sistēmas sensoriem), vai arī patērētās siltumenerģijas daudzuma noteikšanai izmantotās ierīces vai iekārtas neatbilst minētajām prasībām, izdevumus, kas saistīti ar siltumenerģijas skaitītāju atkārtoto verificēšanu agrāk par verificēšanas sertifikātā vai šo noteikumu 19.</w:t>
            </w:r>
            <w:r w:rsidR="00000000" w:rsidRPr="00000000" w:rsidDel="00000000">
              <w:rPr>
                <w:vertAlign w:val="superscript"/>
                <w:rtl w:val="0"/>
              </w:rPr>
              <w:t xml:space="preserve">1</w:t>
            </w:r>
            <w:r w:rsidR="00000000" w:rsidRPr="00000000" w:rsidDel="00000000">
              <w:rPr>
                <w:rtl w:val="0"/>
              </w:rPr>
              <w:t xml:space="preserve"> punktā noteikto termiņu vai minēto ierīču vai iekārtu nomaiņu pareizu uzstādīšanu, sedz atbildīgais par patērētās siltumenerģijas daudzuma noteikšanai izmantojamo ierīču vai iekārtu uzstādīšanu (attiecīgi dzīvojamās mājas īpašnieks vai dzīvojamās mājas īpašnieku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ūdens patēriņa skaitītājs vai siltumenerģijas skaitītājs ir uzstādīts, neievērojot normatīvajos aktos par mērījumu vienotību (ja ir uzstādīts siltuma maksas sadalītājs – piemērojamā standartā,  vai siltumenerģijas patēriņa noteikšanas sistēmas sensors - radioiekārtu atbilstības novērtēšanas, piedāvāšanas tirgū, uzstādīšanas, lietošanas un uzraudzības regulējumā) vai dzīvojamās mājas īpašnieku noteiktās prasības, vai arī patērētā ūdens vai siltumenerģijas daudzuma noteikšanai izmantotās ierīces vai iekārtas neatbilst minētajām prasībām, izdevumus, kas saistīti ar ūdens vai siltumenerģijas skaitītāju atkārtoto verificēšanu agrāk par verificēšanas sertifikātā vai šo noteikumu 6.</w:t>
            </w:r>
            <w:r w:rsidR="00000000" w:rsidRPr="00000000" w:rsidDel="00000000">
              <w:rPr>
                <w:vertAlign w:val="superscript"/>
                <w:rtl w:val="0"/>
              </w:rPr>
              <w:t xml:space="preserve">2 </w:t>
            </w:r>
            <w:r w:rsidR="00000000" w:rsidRPr="00000000" w:rsidDel="00000000">
              <w:rPr>
                <w:rtl w:val="0"/>
              </w:rPr>
              <w:t xml:space="preserve">un 19.</w:t>
            </w:r>
            <w:r w:rsidR="00000000" w:rsidRPr="00000000" w:rsidDel="00000000">
              <w:rPr>
                <w:vertAlign w:val="superscript"/>
                <w:rtl w:val="0"/>
              </w:rPr>
              <w:t xml:space="preserve">1</w:t>
            </w:r>
            <w:r w:rsidR="00000000" w:rsidRPr="00000000" w:rsidDel="00000000">
              <w:rPr>
                <w:rtl w:val="0"/>
              </w:rPr>
              <w:t xml:space="preserve"> punktā noteikto termiņu, un minēto ierīču vai iekārtu nomaiņu vai pareizu uzstādīšanu, sedz atbildīgais par patērētā ūdens vai siltumenerģijas daudzuma noteikšanai izmantojamo ierīču vai iekārtu uzstādīšanu (attiecīgi dzīvojamās mājas īpašnieks vai dzīvojamās mājas īpašnieku pilnvarotā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skaitītājs (tai skaitā siltuma maksas sadalītājs un siltumenerģijas patēriņa noteikšanas sistēmas sensors) ir uzstādīts, neievērojot normatīvajos aktos par mērījumu vienotību (ja ir uzstādīts siltuma maksas sadalītājs – piemērojamā standartā) vai dzīvojamās mājas īpašnieku noteiktās prasības, vai arī patērētās siltumenerģijas daudzuma noteikšanai izmantotās ierīces vai iekārtas neatbilst minētajām prasībām, izdevumus, kas saistīti ar minēto ierīču vai iekārtu atkārtoto verificēšanu vai nomaiņu agrāk par verificēšanas sertifikātā vai šo noteikumu 6.2. apakšpunktā noteikto termiņu vai pareizu uzstādīšanu, sedz atbildīgais par patērētās siltumenerģijas daudzuma noteikšanai izmantojamo ierīču vai iekārtu uzstādīšanu (attiecīgi dzīvojamās mājas īpašnieks vai dzīvojamās mājas īpašnieku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w:t>
            </w:r>
            <w:r w:rsidR="00000000" w:rsidRPr="00000000" w:rsidDel="00000000">
              <w:rPr>
                <w:vertAlign w:val="superscript"/>
                <w:rtl w:val="0"/>
              </w:rPr>
              <w:t xml:space="preserve">1</w:t>
            </w:r>
            <w:r w:rsidR="00000000" w:rsidRPr="00000000" w:rsidDel="00000000">
              <w:rPr>
                <w:rtl w:val="0"/>
              </w:rPr>
              <w:t xml:space="preserve"> punktā (grozījumu projekta 2. punkts) minēto atsauci uz šo noteikumu 6.2. apakšpunktu, jo tas termiņu neparedz. Lūdzam to izlabot uz šo noteikumu 6.</w:t>
            </w:r>
            <w:r w:rsidR="00000000" w:rsidRPr="00000000" w:rsidDel="00000000">
              <w:rPr>
                <w:vertAlign w:val="superscript"/>
                <w:rtl w:val="0"/>
              </w:rPr>
              <w:t xml:space="preserve">2 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ūdens patēriņa skaitītājs vai siltumenerģijas skaitītājs ir uzstādīts, neievērojot normatīvajos aktos par mērījumu vienotību (ja ir uzstādīts siltuma maksas sadalītājs – piemērojamā standartā,  vai siltumenerģijas patēriņa noteikšanas sistēmas sensors - radioiekārtu atbilstības novērtēšanas, piedāvāšanas tirgū, uzstādīšanas, lietošanas un uzraudzības regulējumā) vai dzīvojamās mājas īpašnieku noteiktās prasības, vai arī patērētā ūdens vai siltumenerģijas daudzuma noteikšanai izmantotās ierīces vai iekārtas neatbilst minētajām prasībām, izdevumus, kas saistīti ar ūdens vai siltumenerģijas skaitītāju atkārtoto verificēšanu agrāk par verificēšanas sertifikātā vai šo noteikumu 6.</w:t>
            </w:r>
            <w:r w:rsidR="00000000" w:rsidRPr="00000000" w:rsidDel="00000000">
              <w:rPr>
                <w:vertAlign w:val="superscript"/>
                <w:rtl w:val="0"/>
              </w:rPr>
              <w:t xml:space="preserve">2 </w:t>
            </w:r>
            <w:r w:rsidR="00000000" w:rsidRPr="00000000" w:rsidDel="00000000">
              <w:rPr>
                <w:rtl w:val="0"/>
              </w:rPr>
              <w:t xml:space="preserve">un 19.</w:t>
            </w:r>
            <w:r w:rsidR="00000000" w:rsidRPr="00000000" w:rsidDel="00000000">
              <w:rPr>
                <w:vertAlign w:val="superscript"/>
                <w:rtl w:val="0"/>
              </w:rPr>
              <w:t xml:space="preserve">1</w:t>
            </w:r>
            <w:r w:rsidR="00000000" w:rsidRPr="00000000" w:rsidDel="00000000">
              <w:rPr>
                <w:rtl w:val="0"/>
              </w:rPr>
              <w:t xml:space="preserve"> punktā noteikto termiņu, un minēto ierīču vai iekārtu nomaiņu vai pareizu uzstādīšanu, sedz atbildīgais par patērētā ūdens vai siltumenerģijas daudzuma noteikšanai izmantojamo ierīču vai iekārtu uzstādīšanu (attiecīgi dzīvojamās mājas īpašnieks vai dzīvojamās mājas īpašnieku pilnvarotā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Siltumenerģijas patēriņa noteikšanas sistēmas izmantošanai dzīvojamās mājas siltumenerģijas patēriņa sadalījumam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namu pārvaldnieks"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projektā noteikt, ka vienas mājas dzīvokļu īpašumos ir uzstādāma viena veida Jaunā patēriņa noteikšanas sistēma, kā tas jau ir paredzēts Noteikumos attiecībā uz siltuma maksas sadalītājiem, lai dzīvokļos uzstādīto ierīču - sensoru sniegtie dati būtu savstarpēji salīdzināmi, neveidotos siltumenerģijas patēriņa uzskaites kļūdas un attiecīgi siltumenerģijas patēriņa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uzskaites princips un aprēķinu metodikas pieļauj arī datu apkopošanu no dažāda veida siltumenerģijas patēriņa noteikšanas sistēmām atšķirībā piemēram no siltuma maksas sadalītājiem.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Siltumenerģijas patēriņa noteikšanas sistēmas izmantošanai dzīvojamās mājas siltumenerģijas patēriņa sadalījumam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un prasību ievērošanu un radioiekārtu regulējumā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19.</w:t>
            </w:r>
            <w:r w:rsidR="00000000" w:rsidRPr="00000000" w:rsidDel="00000000">
              <w:rPr>
                <w:vertAlign w:val="superscript"/>
                <w:rtl w:val="0"/>
              </w:rPr>
              <w:t xml:space="preserve">6</w:t>
            </w:r>
            <w:r w:rsidR="00000000" w:rsidRPr="00000000" w:rsidDel="00000000">
              <w:rPr>
                <w:rtl w:val="0"/>
              </w:rPr>
              <w:t xml:space="preserve">1. apakšpunktu (grozījumu projekta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6</w:t>
            </w:r>
            <w:r w:rsidR="00000000" w:rsidRPr="00000000" w:rsidDel="00000000">
              <w:rPr>
                <w:i w:val="1"/>
                <w:rtl w:val="0"/>
              </w:rPr>
              <w:t xml:space="preserve">1. dzīvojamās mājas īpašnieku noteiktās kārtības un prasību ievērošanu un atbilstību radioiekārtu regulējumā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6</w:t>
            </w:r>
            <w:r w:rsidR="00000000" w:rsidRPr="00000000" w:rsidDel="00000000">
              <w:rPr>
                <w:i w:val="1"/>
                <w:rtl w:val="0"/>
              </w:rPr>
              <w:t xml:space="preserve">1. dzīvojamās mājas īpašnieku noteiktās kārtības un prasību, kā arī radioiekārtu regulējumā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analoģijas ar noteikumu 19.</w:t>
            </w:r>
            <w:r w:rsidR="00000000" w:rsidRPr="00000000" w:rsidDel="00000000">
              <w:rPr>
                <w:vertAlign w:val="superscript"/>
                <w:rtl w:val="0"/>
              </w:rPr>
              <w:t xml:space="preserve">2</w:t>
            </w:r>
            <w:r w:rsidR="00000000" w:rsidRPr="00000000" w:rsidDel="00000000">
              <w:rPr>
                <w:rtl w:val="0"/>
              </w:rPr>
              <w:t xml:space="preserve"> 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un normatīvajā aktā par radioiekārtu atbilstības novērtēšanas, piedāvāšanas tirgū, uzstādīšanas, lietošanas un uzraudzības noteikto prasību ievērošanu (šo noteikumu 19.</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un normatīvajos aktos par mērījumu vienotību noteikto prasību ievērošanu (šo noteikumu 19.1.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19.</w:t>
            </w:r>
            <w:r w:rsidR="00000000" w:rsidRPr="00000000" w:rsidDel="00000000">
              <w:rPr>
                <w:vertAlign w:val="superscript"/>
                <w:rtl w:val="0"/>
              </w:rPr>
              <w:t xml:space="preserve">6 </w:t>
            </w:r>
            <w:r w:rsidR="00000000" w:rsidRPr="00000000" w:rsidDel="00000000">
              <w:rPr>
                <w:rtl w:val="0"/>
              </w:rPr>
              <w:t xml:space="preserve">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un normatīvajā aktā par radioiekārtu atbilstības novērtēšanas, piedāvāšanas tirgū, uzstādīšanas, lietošanas un uzraudzības noteikto prasību ievērošanu (šo noteikumu 19.</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un normatīvajos aktos par mērījumu vienotību noteikto prasību ievērošanu (šo noteikumu 19.1.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19.</w:t>
            </w:r>
            <w:r w:rsidR="00000000" w:rsidRPr="00000000" w:rsidDel="00000000">
              <w:rPr>
                <w:vertAlign w:val="superscript"/>
                <w:rtl w:val="0"/>
              </w:rPr>
              <w:t xml:space="preserve">6</w:t>
            </w:r>
            <w:r w:rsidR="00000000" w:rsidRPr="00000000" w:rsidDel="00000000">
              <w:rPr>
                <w:rtl w:val="0"/>
              </w:rPr>
              <w:t xml:space="preserve">1. apakšpunktā (grozījumu projekta 5. punkts) minēto atsauci uz šo noteikumu 19.1. apakšpunktu, jo tas neparedz dzīvojamās mājas īpašnieku noteiktās kārtības ievērošanu. Lūdzam to izlabot uz šo noteikumu 19.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prasību un normatīvajā aktā par radioiekārtu atbilstības novērtēšanas, piedāvāšanas tirgū, uzstādīšanas, lietošanas un uzraudzības noteikto prasību ievērošanu (šo noteikumu 19.</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nosakot maksājamo daļu, tiek izmantota siltumenerģijas uzskaites (sadales) iespēja, kas nav minēta šo noteikumu </w:t>
            </w:r>
            <w:r w:rsidR="00000000" w:rsidRPr="00000000" w:rsidDel="00000000">
              <w:rPr>
                <w:rtl w:val="0"/>
              </w:rPr>
              <w:t xml:space="preserve">19.</w:t>
            </w:r>
            <w:r w:rsidR="00000000" w:rsidRPr="00000000" w:rsidDel="00000000">
              <w:rPr>
                <w:rtl w:val="0"/>
              </w:rPr>
              <w:t xml:space="preserve"> punktā, dzīvojamās mājas īpašnieki var vienoties arī par citas, šo noteikumu pielikumos neminētas siltumenerģijas patēriņa metodikas izmantošanu, ja tiek ievēroti šo noteikumu pielikumos minētajās metodikās noteiktie siltumenerģijas sadales aprēķinu principi un metodiku ir apstiprinājis neatkarīgs eksperts. Vienlaikus ir jānodrošina, ka  dzīvojamā  mājā individuālā siltumenerģijas patēriņa ierīces ir uzstādītas vairāk par 70 % no kopējā dzīvokļu,  nedzīvojam telpu un mākslinieku darbnīcu skaita dzīvojamā  mājā.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ierosinājums: Ierosinām vārdu "</w:t>
            </w:r>
            <w:r w:rsidR="00000000" w:rsidRPr="00000000" w:rsidDel="00000000">
              <w:rPr>
                <w:b w:val="1"/>
                <w:rtl w:val="0"/>
              </w:rPr>
              <w:t xml:space="preserve">nedzīvojam</w:t>
            </w:r>
            <w:r w:rsidR="00000000" w:rsidRPr="00000000" w:rsidDel="00000000">
              <w:rPr>
                <w:rtl w:val="0"/>
              </w:rPr>
              <w:t xml:space="preserve">" aizstāt ar "</w:t>
            </w:r>
            <w:r w:rsidR="00000000" w:rsidRPr="00000000" w:rsidDel="00000000">
              <w:rPr>
                <w:b w:val="1"/>
                <w:rtl w:val="0"/>
              </w:rPr>
              <w:t xml:space="preserve">nedzīvojamo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nosakot maksājamo daļu, tiek izmantota siltumenerģijas uzskaites (sadales) iespēja, kas nav minēta šo noteikumu 19. punktā, dzīvojamās mājas īpašnieki var vienoties arī par citas, šo noteikumu pielikumos neminētas siltumenerģijas patēriņa metodikas izmantošanu, ja tiek ievēroti šo noteikumu pielikumos minētajās metodikās noteiktie siltumenerģijas sadales aprēķinu principi un metodiku ir apstiprinājis neatkarīgs eksperts. Vienlaikus ir jānodrošina, ka  dzīvojamā  mājā individuālā siltumenerģijas patēriņa ierīces ir uzstādītas vairāk par 70 % no kopējā dzīvokļu, nedzīvojamo telpu un mākslinieku darbnīcu skaita dzīvojamā mājā.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nosakot maksājamo daļu, tiek izmantota siltumenerģijas uzskaites (sadales) iespēja, kas nav minēta šo noteikumu </w:t>
            </w:r>
            <w:r w:rsidR="00000000" w:rsidRPr="00000000" w:rsidDel="00000000">
              <w:rPr>
                <w:rtl w:val="0"/>
              </w:rPr>
              <w:t xml:space="preserve">19.</w:t>
            </w:r>
            <w:r w:rsidR="00000000" w:rsidRPr="00000000" w:rsidDel="00000000">
              <w:rPr>
                <w:rtl w:val="0"/>
              </w:rPr>
              <w:t xml:space="preserve"> punktā, dzīvojamās mājas īpašnieki var vienoties arī par citas, šo noteikumu pielikumos neminētas siltumenerģijas patēriņa metodikas izmantošanu, ja tiek ievēroti šo noteikumu pielikumos minētajās metodikās noteiktie siltumenerģijas sadales aprēķinu principi un metodiku ir noteicis neatkarīgs eksperts. Vienlaikus ir jānodrošina, ka  dzīvojamā  mājā individuālā siltumenerģijas patēriņa ierīces ir uzstādītas vairāk par 70 % no kopējā dzīvokļu,  nedzīvojamo telpu un mākslinieku darbnīcu skaita dzīvojamā  mājā.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Dzīvojamās mājās, kurās siltumenerģijas uzskaiti (sadali) veic ar skaitītāju dzīvojamās mājas ievadā un siltuma maksas sadalītājiem vai siltumenerģijas skaitītājiem dzīvokļos, nedzīvojamās telpās un mākslinieka darbnīcās, personai, kura aprēķina maksājamās daļas apmēru, no 2022. gada 1. marta ir pienākums, veicot maksājamo daļu aprēķināšanu, ievērot šo noteikumu </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punktā noteikto kārtību un piemērot šo noteikumu 21. un 22. pielikumā norādītos koeficientus. Šo noteikumu 21. pielikumā norādītos koeficientus var nepiemērot, ja tos noteicis neatkarīgs eksperts saskaņā ar standartu LVS EN 834+AC:2021 "Siltumenerģijas patēriņa noteicēji dzīvokļa apsildes radiatoriem. Ierīces ar elektroenerģijas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Dzīvojamās mājās, kurās siltumenerģijas uzskaiti (sadali) veic ar siltumenerģijas skaitītāju dzīvojamās mājas ievadā un siltuma maksas sadalītājiem vai siltumenerģijas skaitītājiem dzīvokļos, nedzīvojamās telpās un mākslinieka darbnīcās, personai, kura aprēķina maksājamās daļas apmēru, no 2022.gada 1.marta ir pienākums, veicot maksājamo daļu aprēķināšanu, ievērot šo noteikumu 19.2 un 19.3 punktā noteikto kārtību un piemērot šo noteikumu 21. un 22. pielikumā norādītos koeficientus. Šo noteikumu 21.pielikumā norādītos koeficientus var nepiemērot, ja tos noteicis neatkarīgs eksperts saskaņā ar standartu LVS EN 834+AC:2021 “Siltumenerģijas patēriņa noteicēji dzīvokļa apsildes radiatoriem. Ierīces ar elektroenerģijas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Dzīvojamās mājās, kurās siltumenerģijas uzskaiti (sadali) veic ar siltumenerģijas skaitītāju dzīvojamās mājas ievadā un  siltumenerģijas patēriņa noteikšanas sistēmu, personai, kura aprēķina maksājamās daļas apmēru, ir pienākums, veicot maksājamo daļu aprēķināšanu, ievērot šo noteikumu 19.6 punktā noteikto kārtību un piemērot šo noteikumu 21. un 22. pielikumā norādītos koeficientus. Šo noteikumu 21.pielikumā norādītos koeficientus var nepiemērot, ja tos noteicis neatkarīgs eksperts saskaņā ar standartu LVS EN 834+AC:2021 “Siltumenerģijas patēriņa noteicēji dzīvokļa apsildes radiatoriem. Ierīces ar elektroenerģijas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Dzīvojamās mājās, kurās siltumenerģijas uzskaiti (sadali) veic ar siltumenerģijas skaitītāju dzīvojamās mājas ievadā un siltuma maksas sadalītājiem vai siltumenerģijas skaitītājiem dzīvokļos, nedzīvojamās telpās un mākslinieka darbnīcās, personai, kura aprēķina maksājamās daļas apmēru, no 2022. gada 1. marta ir pienākums, veicot maksājamo daļu aprēķināšanu, ievērot šo noteikumu </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punktā noteikto kārtību un piemērot šo noteikumu 21. un 22. pielikumā norādītos koeficientus. Šo noteikumu 21. pielikumā norādītos koeficientus var nepiemērot, ja tos noteicis neatkarīgs eksperts, kas noteikts ēku energoefektivitātes normatīvajos aktos, saskaņā ar standartu LVS EN 834+AC:2021 "Siltuma maksas sadalītāji dzīvokļa apsildes radiatoriem. Ierīces ar elektroenerģijas avotu".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Siltumenerģijas uzskaites (sadales) iespēja un šo noteikumu pielikumos vai cita saskaņā ar šo noteikumu 23. punktu noteiktā metodika nav izmantojamas, un maksājamo daļu par siltumenerģijas patēriņu dzīvoklī aprēķina pēc metodikas,  kas bija pirms individuālā siltumenerģijas patēriņa ierīču uzstādīšanas dzīvokļos,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namu pārvaldnieks”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turpmāk individuālā siltumenerģijas patēriņa noteikšanai varēs izmantot ne tikai siltumenerģijas skaitītājus un sadalītāju, bet arī “siltumenerģijas patēriņa noteikšanas sistēmu, kas izmanto tiešsaistē periodiski fiksētus siltumnesēja caurplūdes un apkures cauruļvadu virsmu temperatūras datus, siltumenerģijas patēriņa noteikšanas sistēmas sensoru” (turpmāk - Jaunā patēriņa noteikšanas sistēma). Tā kā normatīvos aktos nav skaidri noteikts uzraudzības process no valsts puses siltumenerģijas uzskaites pakalpojuma sniegšanai un Jaunajai patēriņa noteikšanas sistēmai vienīgā Noteikumu projektā definētā tehniskās atbilstības prasība ir atbilstība radioiekārtu regulējumā noteiktajām prasībām, lai novērstu iespējamās neskaidrības un dzīvokļu īpašnieki, kā arī dzīvojamo māju pārvaldnieki varētu pārliecināties par tirgū piedāvāto ierīču funkcionalitāti un atbilstību Jaunā patēriņa noteikšanas sistēmai, ierosinām Noteikumu projekta 11.punktā minētā 33.punkta redakciju papildināt ar jaunu apakšpunktu: “33.5. nav iesniegti dzīvokļu īpašumos uzstādītās siltumenerģijas patēriņa noteikšanas sistēmas tehniskie dokumenti, kas apliecina siltumenerģijas patēriņa noteikšanas sistēmas atbilstību prasībām, kas noteiktas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uzraudzības jautājumu, šādi grozījumi izdodami atbilstoši pilnvarojumam, ko neparedz izskatāmie noteikumi, tādēļ netiek paplašinātas iestāžu funkcijas minētajā jautājumā. Tiesību akts paredz iespēju uzstādīt patērētās siltumenerģijas daudzuma noteikšanai izmantotās ierīces vai iekārtas, tajā skaitā siltumenerģijas patēriņa noteikšanas sistēmu, ja tiek ievēroti principi, kas definēti noteikumu projekta 33.punktā kā tiesiskās sekas par siltumenerģijas patēriņa ierīču vai iekārtu uzstādīšanu.  Papildus vēršam uzmanību, ka Ministru kabineta 2020.gada 10.decembra noteikumu Nr. 730 “Ekspluatējamu ēku energoefektivitātes minimālās prasības” grozījumu projekts papildināts ar 3. pielikumu par ekonomiskā pamatojuma aprēķināšanas metodiku siltumenerģijas patēriņa noteikšanas sistēmai. Dzīvokļu īpašnieki var iepazīties ar informāciju par metodiskiem  norādījumiem siltumenerģijas aprēķināšanai  Ekonomikas ministrijas tīmekļvietnē: https://www.em.gov.lv/lv/metodiskie-ieteikumi, sadaļā: Darbības jomas, Mājokļu politika, Informācija un skaidrojumi,  Metodiskie ieteikumi. Savukārt pārvaldniekam (saskaņā ar Senāta 2019.gada 12.decembra sprieduma lietā Nr. SKC-109/2019 norādīto, ka pārvaldniekam ir piemērojama prasība rīkoties kā krietnam un kārtīgam pārvaldniekam) vai citai pilnvarotai personai pirms dzīvokļu īpašnieku kopības lēmuma pieņemšanas, jāsagatavo dokumenti izvērtēšanai dzīvokļu īpašniekiem, kas apstiprina izmaksu efektivitāti atbilstoši mājas tehniskajam stāvoklim, potenciālās  patērētās siltumenerģijas daudzuma noteikšanai izmantotās ierīces vai iekārtas atbilstību normatīvajam regulējumam, un atbilstošu metodiku maksājamās daļas aprēķinam par siltumenerģiju, izvērtējot nepieciešamību pieaicināt ēku energoefektivitātes ekspertu (ja pārvaldnieka kvalifikācija ir nepietiekoša vai tā rīcībā nav attiecīgo speciālistu).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Siltumenerģijas uzskaites (sadales) iespēja un šo noteikumu pielikumos vai cita saskaņā ar šo noteikumu 23. punktu noteiktā metodika nav izmantojama, un maksājamo daļu par siltumenerģijas patēriņu dzīvoklī aprēķina pēc metodikas,  kas bija pirms individuālā siltumenerģijas patēriņa ierīču uzstādīšanas dzīvokļos,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Siltumenerģijas uzskaites (sadales) sistēma un šo noteikumu pielikumos vai cita saskaņā ar šo noteikumu 23. punktu noteiktā metodika nav izmantojamas, un maksājamo daļu par siltumenerģijas patēriņu dzīvoklī aprēķina pēc metodikas,  kas bija pirms individuālā siltumenerģijas patēriņa ierīču uzstādīšanas dzīvokļos,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Siltumenerģijas uzskaites (sadales) sistēma un šo noteikumu pielikumos vai cita saskaņā ar šo noteikumu 23.punktu noteiktā metodika nav izmantojamas, un maksājamo daļu par siltumenerģijas patēriņu dzīvoklī aprēķina pēc metodikas, kas bija pirms individuālā siltumenerģijas patēriņa ierīču uzstādīšanas dzīvokļos,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dzīvojamā mājā individuālā siltumenerģijas patēriņa ierīces tiek uzstādītas mazāk par 70% no kopējā dzīvokļu īpašuma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ierīce, kam paredzēta attālinātā informācijas nolasīšana, nav ar CE atbilstības marķējumu un nav veikta produkta atbilstības novērtēšana saistošajam normatīvajam regulējumam attiecībā uz radioiekārtu regulējumā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siltumenerģijas sadalījumā starp dzīvokļiem uz vienu kvadrātmetru, izmantojot individuālā siltumenerģijas patēriņa ierīces dzīvokļos, atšķiras vairāk par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netiek pielietoti šo noteikumu 21. un 22. pielikumā norādītie koeficienti,  izņemot šo noteikumu 32. punktā minētos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 precizējot 33.2. un 33.3.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Siltumenerģijas uzskaites (sadales) iespēja un šo noteikumu pielikumos vai cita saskaņā ar šo noteikumu 23. punktu noteiktā metodika nav izmantojama, un maksājamo daļu par siltumenerģijas patēriņu dzīvoklī aprēķina pēc metodikas,  kas bija pirms individuālā siltumenerģijas patēriņa ierīču uzstādīšanas dzīvokļos,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dzīvojamā mājā individuālā siltumenerģijas patēriņa ierīces tiek uzstādītas mazāk par 70% no kopējā dzīvokļu īpašuma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namu pārvaldnieks"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samazināt siltumenerģijas patēriņa uzskaites starpību līdz minimumam un nodrošināt, lai siltumenerģijas patēriņa uzskaite un maksājumu sadale starp dzīvokļu īpašniekiem būtu objektīva un taisnīga, Sabiedrība ierosina Noteikumu projektā noteikt, ka Jaunā patēriņa noteikšanas sistēma ir izmantojama tikai tad, ja tā ir uzstādīta, visos dzīvojamās mājas dzīvokļu īpašumos un tās dati ir attālināti nolasāmi.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33.1.apakšpunktā noteikts, ka jebkura siltumenerģijas uzskaites (sadales) sistēma pieļaujama, ja dzīvojamā mājā individuālā siltumenerģijas patēriņa ierīces tiek uzstādītas mazāk par 70% no kopējā dzīvokļu īpašuma skaita. Tas izriet no jau esošā regulējuma 19.</w:t>
            </w:r>
            <w:r w:rsidR="00000000" w:rsidRPr="00000000" w:rsidDel="00000000">
              <w:rPr>
                <w:vertAlign w:val="superscript"/>
                <w:rtl w:val="0"/>
              </w:rPr>
              <w:t xml:space="preserve">2 </w:t>
            </w:r>
            <w:r w:rsidR="00000000" w:rsidRPr="00000000" w:rsidDel="00000000">
              <w:rPr>
                <w:rtl w:val="0"/>
              </w:rPr>
              <w:t xml:space="preserve">2. un 19.</w:t>
            </w:r>
            <w:r w:rsidR="00000000" w:rsidRPr="00000000" w:rsidDel="00000000">
              <w:rPr>
                <w:vertAlign w:val="superscript"/>
                <w:rtl w:val="0"/>
              </w:rPr>
              <w:t xml:space="preserve">3 </w:t>
            </w:r>
            <w:r w:rsidR="00000000" w:rsidRPr="00000000" w:rsidDel="00000000">
              <w:rPr>
                <w:rtl w:val="0"/>
              </w:rPr>
              <w:t xml:space="preserve">3.apakšpunktiem. Anotācijā 1.3.punktā  papildināts skaidrojums minētajā jautājumā.   Ministru kabineta 2020. gada 10. decembra noteikumos Nr. 730 "Ekspluatējamu ēku energoefektivitātes minimālās prasības" ir noteikts,  ka  patērētās siltumenerģijas uzskaitē izmanto attālināti nolasāmas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dzīvojamā mājā individuālā siltumenerģijas patēriņa ierīces netiek uzstādītas vairāk par 70% no kopējā dzīvokļu īpašuma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23. pielikuma (grozījumu projekta 2. pielikums) 1. punkta 7. formulu ar skaidrojumu, kas ir “q</w:t>
            </w:r>
            <w:r w:rsidR="00000000" w:rsidRPr="00000000" w:rsidDel="00000000">
              <w:rPr>
                <w:vertAlign w:val="subscript"/>
                <w:rtl w:val="0"/>
              </w:rPr>
              <w:t xml:space="preserve">k.ū.vas</w:t>
            </w:r>
            <w:r w:rsidR="00000000" w:rsidRPr="00000000" w:rsidDel="00000000">
              <w:rPr>
                <w:rtl w:val="0"/>
              </w:rPr>
              <w:t xml:space="preserve">.” un 9. formulu ar skaidrojumu, kas ir “q</w:t>
            </w:r>
            <w:r w:rsidR="00000000" w:rsidRPr="00000000" w:rsidDel="00000000">
              <w:rPr>
                <w:vertAlign w:val="subscript"/>
                <w:rtl w:val="0"/>
              </w:rPr>
              <w:t xml:space="preserve">k.ū.apk.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7.formulā minētais q</w:t>
            </w:r>
            <w:r w:rsidR="00000000" w:rsidRPr="00000000" w:rsidDel="00000000">
              <w:rPr>
                <w:vertAlign w:val="subscript"/>
                <w:rtl w:val="0"/>
              </w:rPr>
              <w:t xml:space="preserve">k.ū.vas.</w:t>
            </w:r>
            <w:r w:rsidR="00000000" w:rsidRPr="00000000" w:rsidDel="00000000">
              <w:rPr>
                <w:rtl w:val="0"/>
              </w:rPr>
              <w:t xml:space="preserve"> ir atšifrēts pie 6.formulas – viena kubikmetra aukstā ūdens uzsildīšanai siltummainī patērētās siltumenerģijas daudzums (MWh/m³) vasaras sezonas norēķina periodā.  9.formulā minētais q</w:t>
            </w:r>
            <w:r w:rsidR="00000000" w:rsidRPr="00000000" w:rsidDel="00000000">
              <w:rPr>
                <w:vertAlign w:val="subscript"/>
                <w:rtl w:val="0"/>
              </w:rPr>
              <w:t xml:space="preserve">k.ū.apk.</w:t>
            </w:r>
            <w:r w:rsidR="00000000" w:rsidRPr="00000000" w:rsidDel="00000000">
              <w:rPr>
                <w:rtl w:val="0"/>
              </w:rPr>
              <w:t xml:space="preserve"> ir atšifrēts pie 8.formulas – viena kubikmetra aukstā ūdens uzsildīšanai siltummainī norēķina periodā patērētās siltumenerģijas daudzums (MWh/m³) apkures sezonas.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24. pielikuma (grozījumu projekta 3. pielikums) 1. punkta 7. formulu ar skaidrojumu, kas ir “q</w:t>
            </w:r>
            <w:r w:rsidR="00000000" w:rsidRPr="00000000" w:rsidDel="00000000">
              <w:rPr>
                <w:vertAlign w:val="subscript"/>
                <w:rtl w:val="0"/>
              </w:rPr>
              <w:t xml:space="preserve">k.ū.vas.</w:t>
            </w:r>
            <w:r w:rsidR="00000000" w:rsidRPr="00000000" w:rsidDel="00000000">
              <w:rPr>
                <w:rtl w:val="0"/>
              </w:rPr>
              <w:t xml:space="preserve">” un 9. formulu ar skaidrojumu, kas ir “q</w:t>
            </w:r>
            <w:r w:rsidR="00000000" w:rsidRPr="00000000" w:rsidDel="00000000">
              <w:rPr>
                <w:vertAlign w:val="subscript"/>
                <w:rtl w:val="0"/>
              </w:rPr>
              <w:t xml:space="preserve">k.ū.apk.</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7.formulā minētais q</w:t>
            </w:r>
            <w:r w:rsidR="00000000" w:rsidRPr="00000000" w:rsidDel="00000000">
              <w:rPr>
                <w:vertAlign w:val="subscript"/>
                <w:rtl w:val="0"/>
              </w:rPr>
              <w:t xml:space="preserve">k.ū.vas.</w:t>
            </w:r>
            <w:r w:rsidR="00000000" w:rsidRPr="00000000" w:rsidDel="00000000">
              <w:rPr>
                <w:rtl w:val="0"/>
              </w:rPr>
              <w:t xml:space="preserve"> ir atšifrēts pie 6.formulas – viena kubikmetra aukstā ūdens uzsildīšanai siltummainī patērētās siltumenerģijas daudzums (MWh/m³) vasaras sezonas norēķina periodā.  9.formulā minētais q</w:t>
            </w:r>
            <w:r w:rsidR="00000000" w:rsidRPr="00000000" w:rsidDel="00000000">
              <w:rPr>
                <w:vertAlign w:val="subscript"/>
                <w:rtl w:val="0"/>
              </w:rPr>
              <w:t xml:space="preserve">k.ū.apk.</w:t>
            </w:r>
            <w:r w:rsidR="00000000" w:rsidRPr="00000000" w:rsidDel="00000000">
              <w:rPr>
                <w:rtl w:val="0"/>
              </w:rPr>
              <w:t xml:space="preserve"> ir atšifrēts pie 8.formulas – viena kubikmetra aukstā ūdens uzsildīšanai siltummainī norēķina periodā patērētās siltumenerģijas daudzums (MWh/m³) apkures sezonas.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25. pielikuma (grozījumu projekta 4. pielikums) 1. punkta 8. formulu ar skaidrojumu, kas ir  “q</w:t>
            </w:r>
            <w:r w:rsidR="00000000" w:rsidRPr="00000000" w:rsidDel="00000000">
              <w:rPr>
                <w:vertAlign w:val="subscript"/>
                <w:rtl w:val="0"/>
              </w:rPr>
              <w:t xml:space="preserve">k.ū.apk.</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8.formulā minētais q</w:t>
            </w:r>
            <w:r w:rsidR="00000000" w:rsidRPr="00000000" w:rsidDel="00000000">
              <w:rPr>
                <w:vertAlign w:val="subscript"/>
                <w:rtl w:val="0"/>
              </w:rPr>
              <w:t xml:space="preserve">k.ū.apk.</w:t>
            </w:r>
            <w:r w:rsidR="00000000" w:rsidRPr="00000000" w:rsidDel="00000000">
              <w:rPr>
                <w:rtl w:val="0"/>
              </w:rPr>
              <w:t xml:space="preserve"> ir atšifrēts pie 7.formulas – viena kubikmetra aukstā ūdens uzsildīšanai siltummainī patērētās siltumenerģijas daudzums (MWh/m³) apkures sezonas norēķina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26. pielikuma (grozījumu projekta 5. pielikums) 1. punkta 6. formulu ar skaidrojumu, kas ir  “q</w:t>
            </w:r>
            <w:r w:rsidR="00000000" w:rsidRPr="00000000" w:rsidDel="00000000">
              <w:rPr>
                <w:vertAlign w:val="subscript"/>
                <w:rtl w:val="0"/>
              </w:rPr>
              <w:t xml:space="preserve">k.ū.apk.</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6.formulā minētais q</w:t>
            </w:r>
            <w:r w:rsidR="00000000" w:rsidRPr="00000000" w:rsidDel="00000000">
              <w:rPr>
                <w:vertAlign w:val="subscript"/>
                <w:rtl w:val="0"/>
              </w:rPr>
              <w:t xml:space="preserve">k.ū.apk.</w:t>
            </w:r>
            <w:r w:rsidR="00000000" w:rsidRPr="00000000" w:rsidDel="00000000">
              <w:rPr>
                <w:rtl w:val="0"/>
              </w:rPr>
              <w:t xml:space="preserve"> ir atšifrēts pie 5.formulas – viena kubikmetra aukstā ūdens uzsildīšanai siltummainī patērētās siltumenerģijas daudzums (MWh/m³) apkures sezonas norēķina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24-TA-729</w:t>
    </w:r>
    <w:r>
      <w:br/>
    </w:r>
    <w:r w:rsidR="00000000" w:rsidRPr="00000000" w:rsidDel="00000000">
      <w:rPr>
        <w:rtl w:val="0"/>
      </w:rPr>
      <w:t xml:space="preserve">28.12.2024. 21.27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24-TA-729</w:t>
    </w:r>
    <w:r>
      <w:br/>
    </w:r>
    <w:r w:rsidR="00000000" w:rsidRPr="00000000" w:rsidDel="00000000">
      <w:rPr>
        <w:rtl w:val="0"/>
      </w:rPr>
      <w:t xml:space="preserve">28.12.2024. 21.27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Izziņa_24-TA-729.docx</dc:title>
</cp:coreProperties>
</file>

<file path=docProps/custom.xml><?xml version="1.0" encoding="utf-8"?>
<Properties xmlns="http://schemas.openxmlformats.org/officeDocument/2006/custom-properties" xmlns:vt="http://schemas.openxmlformats.org/officeDocument/2006/docPropsVTypes"/>
</file>