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septembra noteikumos Nr. 618 "Tiesu informatīvās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(23.09.2016.)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12:20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precizēta informācijas pieprasīšanas un saņemšanas kārtība, noteikti jauni pienākumi valsts un pašvaldību iestādēm attiecībā uz informācijas pieprasījumu sagatavošanu un pamatošanu (18. punkts), kā arī paredzēts pienākums izveidot un uzturēt iekšējās kontroles sistēmu datu apstrādes atbilstības nodrošināšanai (20.</w:t>
            </w:r>
            <w:r w:rsidR="00000000" w:rsidRPr="00000000" w:rsidDel="00000000">
              <w:rPr>
                <w:vertAlign w:val="superscript"/>
                <w:rtl w:val="0"/>
              </w:rPr>
              <w:t xml:space="preserve">5</w:t>
            </w:r>
            <w:r w:rsidR="00000000" w:rsidRPr="00000000" w:rsidDel="00000000">
              <w:rPr>
                <w:rtl w:val="0"/>
              </w:rPr>
              <w:t xml:space="preserve"> punkts), lūdzam anotācijā ietvert tiesību akta administratīvo un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vai atbilstības izmaksu monetāru novērtējumu, ja tas paredz vai maina pienākumus, kuru izpildei nepieciešama konkrētu procesu nodrošināšana vai informācijas sagatavošana un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vai atbilstības izmaksām, jo jebkurš regulējums, kas ievieš strukturētus pienākumus vai procedūras, var radīt kvantitatīvi novērtējamu administratīvo slogu vai atbilstības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7. sadaļu, tostarp veicot atbilstošus administratīvo un atbilstības izmaksu aprēķinus. Skaidrojam, ka novērtējums par valsts vai pašvaldību institūcijām aizpildāms anotācijas 7. sadaļā. Administratīvo un atbilstības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 lietas sagatavošanas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apakšpunkta numerāciju, aizstājot skaitļus "12.</w:t>
            </w:r>
            <w:r w:rsidR="00000000" w:rsidRPr="00000000" w:rsidDel="00000000">
              <w:rPr>
                <w:vertAlign w:val="superscript"/>
                <w:rtl w:val="0"/>
              </w:rPr>
              <w:t xml:space="preserve">1</w:t>
            </w:r>
            <w:r w:rsidR="00000000" w:rsidRPr="00000000" w:rsidDel="00000000">
              <w:rPr>
                <w:rtl w:val="0"/>
              </w:rPr>
              <w:t xml:space="preserve">6." ar skaitļiem "12.</w:t>
            </w:r>
            <w:r w:rsidR="00000000" w:rsidRPr="00000000" w:rsidDel="00000000">
              <w:rPr>
                <w:vertAlign w:val="superscript"/>
                <w:rtl w:val="0"/>
              </w:rPr>
              <w:t xml:space="preserve">1</w:t>
            </w:r>
            <w:r w:rsidR="00000000" w:rsidRPr="00000000" w:rsidDel="00000000">
              <w:rPr>
                <w:rtl w:val="0"/>
              </w:rPr>
              <w:t xml:space="preserve">5.", jo 12.</w:t>
            </w:r>
            <w:r w:rsidR="00000000" w:rsidRPr="00000000" w:rsidDel="00000000">
              <w:rPr>
                <w:vertAlign w:val="superscript"/>
                <w:rtl w:val="0"/>
              </w:rPr>
              <w:t xml:space="preserve">1</w:t>
            </w:r>
            <w:r w:rsidR="00000000" w:rsidRPr="00000000" w:rsidDel="00000000">
              <w:rPr>
                <w:rtl w:val="0"/>
              </w:rPr>
              <w:t xml:space="preserve"> 6.apakšpunkts secīgi norādīts kā nākamais aiz 12.</w:t>
            </w:r>
            <w:r w:rsidR="00000000" w:rsidRPr="00000000" w:rsidDel="00000000">
              <w:rPr>
                <w:vertAlign w:val="superscript"/>
                <w:rtl w:val="0"/>
              </w:rPr>
              <w:t xml:space="preserve">1</w:t>
            </w:r>
            <w:r w:rsidR="00000000" w:rsidRPr="00000000" w:rsidDel="00000000">
              <w:rPr>
                <w:rtl w:val="0"/>
              </w:rPr>
              <w:t xml:space="preserve">4.apakšpunkta.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konsolidēto versiju un arī izveidoto datni, konstatēts, ka numerācija ir secīga.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 lietas sagatavošanas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institūciju vai amatpersonu, kas izdevusi apstrīdēto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apakšpunkta numerāciju, aizstājot skaitļus "12.</w:t>
            </w:r>
            <w:r w:rsidR="00000000" w:rsidRPr="00000000" w:rsidDel="00000000">
              <w:rPr>
                <w:vertAlign w:val="superscript"/>
                <w:rtl w:val="0"/>
              </w:rPr>
              <w:t xml:space="preserve">1</w:t>
            </w:r>
            <w:r w:rsidR="00000000" w:rsidRPr="00000000" w:rsidDel="00000000">
              <w:rPr>
                <w:rtl w:val="0"/>
              </w:rPr>
              <w:t xml:space="preserve">5." ar skaitļiem "12.</w:t>
            </w:r>
            <w:r w:rsidR="00000000" w:rsidRPr="00000000" w:rsidDel="00000000">
              <w:rPr>
                <w:vertAlign w:val="superscript"/>
                <w:rtl w:val="0"/>
              </w:rPr>
              <w:t xml:space="preserve">1</w:t>
            </w:r>
            <w:r w:rsidR="00000000" w:rsidRPr="00000000" w:rsidDel="00000000">
              <w:rPr>
                <w:rtl w:val="0"/>
              </w:rPr>
              <w:t xml:space="preserve">6.", jo 12.</w:t>
            </w:r>
            <w:r w:rsidR="00000000" w:rsidRPr="00000000" w:rsidDel="00000000">
              <w:rPr>
                <w:vertAlign w:val="superscript"/>
                <w:rtl w:val="0"/>
              </w:rPr>
              <w:t xml:space="preserve">1</w:t>
            </w:r>
            <w:r w:rsidR="00000000" w:rsidRPr="00000000" w:rsidDel="00000000">
              <w:rPr>
                <w:rtl w:val="0"/>
              </w:rPr>
              <w:t xml:space="preserve">5.apakšpunkts secīgi norādīts kā nākamais aiz 12.</w:t>
            </w:r>
            <w:r w:rsidR="00000000" w:rsidRPr="00000000" w:rsidDel="00000000">
              <w:rPr>
                <w:vertAlign w:val="superscript"/>
                <w:rtl w:val="0"/>
              </w:rPr>
              <w:t xml:space="preserve">1</w:t>
            </w:r>
            <w:r w:rsidR="00000000" w:rsidRPr="00000000" w:rsidDel="00000000">
              <w:rPr>
                <w:rtl w:val="0"/>
              </w:rPr>
              <w:t xml:space="preserve">6.apakšpunkta.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konsolidēto versiju un arī izveidoto datni, konstatēts, ka numerācija ir secīga.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institūciju vai amatpersonu, kas izdevusi apstrīdēto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16.punktu attiecībā uz Transportlīdzekļu un to vadītāju valsts reģistru piemēro no 2027.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"martā" ar vārdu "marta".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16. punktu attiecībā uz Transportlīdzekļu un to vadītāju valsts reģistru piemēro no 2027. gada 1. marta.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16.punktu attiecībā uz Transportlīdzekļu un to vadītāju valsts reģistru piemēro no 2027. gada 1. marta.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10.9.apakšpunktu līdz 2028.gada 1.decembrim piemēro atbilstoši tehniskajām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24 .punktu šādā redakcijā:  "24. Šo noteikumu 10.9. apakšpunktu līdz 2028. gada 1. decembrim piemēro atbilstoši attiecīgajā periodā sistēmā ieviestajai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formulējums, kas līdz šim ir izmantots procesu normatīvajos aktos pārejas periodā, piemēram, Kriminālprocesa likuma 78.pārejas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10.9.apakšpunktu līdz 2028.gada 1.decembrim piemēro atbilstoši tehniskajām iespējām.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12.03.2026. 13:45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 piespriestā soda un papildsoda veidu, apmēru, sākuma un beigu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1.Izskatot projektu un spēkā esošos noteikumus, nav pārliecības vai Tiesu informatīvajā sistēmā (TIS) tiek iekļautas visas ziņas, kuras nepieciešams padot uz Sodu reģistru atbilstoši Sodu reģistra likumam. Lūgums pārbaudīt un nepieciešamības gadījumā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Sodu reģistra likuma 9.pantu Sodu reģistrā par notiesāto personu iekļauj piespriesto (noteikto) galīgā soda veidu un mēru. Minētās ziņas tiek saņemtas no TIS. Tādēļ nepieciešams punktu papildināt, ka TIS tiek aprēķinātas un ievadītas ziņas par personai piespriesto (noteikto) galīgo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3.Nepieciešams papildināt, ka TIS tiek iekļautas un padotas uz Sodu reģistru šādas ziņas - noziedzīgu nodarījumu izdarījušās personas vainas forma, noziedzīga nodarījuma smaguma pakāpe, kā arī atzīme, vai personas izdarītais noziedzīgais nodarījums ir vardarbīgs.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noteikumus ar jaunu 10.9.apakšpunktu.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 piespriestā soda un papildsoda veidu, apmēru, sākuma un beigu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20. septembra noteikumos Nr. 618 "Tiesu informatīvās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atkārtoti vērš uzmanību uz Procesu norises elektroniskā vidē valsts platformas likuma 1. panta 4. punktu, ka Tiesu informatīvā sistēma ir viena no sistēmām, kas integrēta ar e-lietas platformas komponentēm. E-lietas platforma ir tā, kas integrē vienkopus gan Tiesu informācijas sistēmu, gan Prokuratūras informācijas sistēmu, kā arī Administratīvo pārkāpumu procesa atbalsta sistēmu. Respektīvi Tiesu informatīvā sistēma izmanto e-lietas platformu, bet nav tās sastāvdaļa. Līdz ar to ir precizējams noteikumu projekta 2. punkts, to izsakot šādā redakcijā: “2. Sistēma ir valsts informācijas sistēma, kas ietver rajonu (pilsētu) tiesu, apgabaltiesu, Augstākās tiesas un Satversmes tiesas (turpmāk – tiesa) lietvedības un tiesvedības informācijas reģistrēšanas risinājumu tiesu darba vajadzībām, datu aprites risinājumu e-lietas portālā un izmanto e-lietas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ir valsts informācijas sistēma, kas ietver rajonu (pilsētu) tiesu, apgabaltiesu, Augstākās tiesas un Satversmes tiesas (turpmāk – tiesa) lietvedības un tiesvedības informācijas reģistrēšanas risinājumu tiesu darba vajadzībām, datu aprites risinājumu e-lietas portālā un izmanto e-lietas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 vērā, precizējot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10.10.2025. 16:29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norādīts, ka, atbilstoši noteikumu 8.11.5. apakšpunktam Tiesu informatīvajā sistēmā par tiesā izskatāmām lietām un materiāliem iekļauj informāciju par nolēmumu, norādot nolēmuma datni, ja nolēmums pieņemts atsevišķa procesuāla dokumenta veidā. Šāds tiesību normas regulējums nav precīzs, jo paredz informācijas, nevis pašas datnes iekļaušanu. Lai novērstu praksē konstatēto atšķirīgo izpratni par normas iztulkošanu, tiesību norma precizēta, dzēšot 8.11.5. apakšpunktu un izveidojot jaunu 8.11.1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to, ka norma, kas tiek svītrota un norma, ar ko papildina noteikumu projektu pēc būtības ir identiska, Latvijas Republikas prokuratūra aicina precizēt sākotnējās ietekmes novērtējuma ziņojumu (anotāciju) norādot, ka tiek dzēsts 8.11.5. apakšpunkts (jo datne - nolēmums, kas pieņemts atsevišķa procesuālā dokumenta veidā nav informācija, ko norāda Tiesu informācijas sistēmā par nolēmumu), savukārt, lai nodrošinātu to, ka Tiesu informatīvajā sistēmā tiek pievienoti tiesu nolēmumi, tajā skaitā nolēmumi, kas pieņemti atsevišķa procesuālā dokumenta veidā, norādīt, ka noteikumu projekts papildināts ar atsevišķu 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iekļautais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ir valsts informācijas sistēma, kas ietver rajonu (pilsētu) tiesu, apgabaltiesu un Augstākās tiesas (turpmāk – tiesa) lietvedības un tiesvedības informācijas reģistrēšanas risinājumu tiesu darba vajadzībām, datu aprites risinājumu e-lietas portālā un e-lietas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Procesu norises elektroniskā vidē valsts platformas likuma 1. panta 4. punktam Tiesu informatīvā sistēma ir viena no sistēmām, kas integrēta ar e-lietas platformas komponentēm. Līdz ar to sākotnējās ietekmes novērtējuma ziņojumā (anotācijā) nav korektas norādes, ka Tiesu informatīvajā sistēmā ir integrēta e-lietas platforma. E-lietas platforma ir tā, kas integrē vienkopus gan Tiesu informācijas sistēmu, gan Prokuratūras informācijas sistēmu, kā arī Administratīvo pārkāpumu procesa atbalsta sistēmu. Līdz ar to ir nepieciešams precizēt informāciju sākotnējās ietekmes novērtējuma ziņojumā (anotācijā), attiecīgi precizējot arī normu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Republikas prokuratūra aicina noteikumu projekta 2. punktu izteikt šādā redakcijā: “Sistēma ir valsts informācijas sistēma, kas ietver rajonu (pilsētu) tiesu, apgabaltiesu un Augstākās tiesas (turpmāk – tiesa) lietvedības un tiesvedības informācijas reģistrēšanas risinājumu tiesu darba vajadzībām un datus izplata, izmantojot e-lietas platformas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informācijas apritei izmanto e-lietas platformas komponentes, noteikts grozījumu 4.1 punktā. Vienlaikus veikti papildinājumi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ir valsts informācijas sistēma, kas ietver rajonu (pilsētu) tiesu, apgabaltiesu, Augstākās tiesas un Satversmes tiesas (turpmāk – tiesa) lietvedības un tiesvedības informācijas reģistrēšanas risinājumu tiesu darba vajadzībām, datu aprites risinājumu e-lietas portālā un datus izplata, izmantojot e-lietas platformas komponentes.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kā arī automatizētu statistikas pārskatu sagatavošanu un nodošanu vai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daļa informācijas e-lietas platformā nonāk no citām informācijas sistēmām, precizējams noteikumu projekta 3. punkts attiecībā uz to, ka informācijas aprite starp iestādēm notiek, izmantojot e-lietas platformas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Republikas prokuratūra aicina noteikumu projekta 3. punktu izteikt šādā redakcijā: "3.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izmantojot e-lietas platformas komponentes, kā arī automatizētu statistikas pārskatu sagatavošanu un nodošanu vai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informācijas apritei izmanto e-lietas platformas komponentes, noteikts grozījumu 4.</w:t>
            </w:r>
            <w:r w:rsidR="00000000" w:rsidRPr="00000000" w:rsidDel="00000000">
              <w:rPr>
                <w:vertAlign w:val="superscript"/>
                <w:rtl w:val="0"/>
              </w:rPr>
              <w:t xml:space="preserve">1</w:t>
            </w:r>
            <w:r w:rsidR="00000000" w:rsidRPr="00000000" w:rsidDel="00000000">
              <w:rPr>
                <w:rtl w:val="0"/>
              </w:rPr>
              <w:t xml:space="preserve"> punktā, proti, sistēmas savietojamību ar citām informācijas sistēmām nodrošina e-lietas platformas risinājums – elektronisko lietu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kā arī automatizētu statistikas pārskatu sagatavošanu un nodošanu vai publicēšanu.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prokuratūras struktūrvienības nosaukumu un prokuroru;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punktu precizēt, jo būtiski ir norādīt ne tikai prokuroru, bet arī prokurora statusu atbilstoši Kriminālprocesa likumam, piemēram, valsts apsūdzības uzturētājs, procesa virzītājs, uzraugošais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Republikas prokuratūra aicina noteikumu projekta 10.2. apakšpunktu izteikt šādā redakcijā: “10.2. prokuratūras struktūrvienības nosaukumu, prokuroru un prokurora statusu kriminālprocesā;“.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minimālo iekļaujamās informācijas apjomu, minimālais apjoms var tikt pārskatīts, pilnībā noslēdzoties pārejai uz Tiesu informatīvās sistēmas jauno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prokuratūras struktūrvienības nosaukumu un prokuroru;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12.1. un 12.2. apakšpunktā minēto informāciju sistēmā iekļauj no Administratīvo pārkāpumu procesa atbalsta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piedāvātie grozījumi paredz izteikt spēkā esošo Ministru kabineta 2016.gada 20.septembra noteikumu Nr.618 "Tiesu informatīvās sistēmas noteikumi" 16.punktu šādā redakcijā: "</w:t>
            </w:r>
            <w:r w:rsidR="00000000" w:rsidRPr="00000000" w:rsidDel="00000000">
              <w:rPr>
                <w:i w:val="1"/>
                <w:rtl w:val="0"/>
              </w:rPr>
              <w:t xml:space="preserve">16. Šo noteikumu 12.1. un 12.2. apakšpunktā minēto informāciju sistēmā iekļauj no Administratīvo pārkāpumu procesa atbalsta sistēmas.</w:t>
            </w:r>
            <w:r w:rsidR="00000000" w:rsidRPr="00000000" w:rsidDel="00000000">
              <w:rPr>
                <w:rtl w:val="0"/>
              </w:rPr>
              <w:t xml:space="preserve">". Taču vēršam uzmanību, ka atbilstoši Administratīvās atbildības likumā ietvertajam regulējumam administratīvā pārkāpuma procesa īstenošana elektroniskā vidē tiek nodrošināta, izmantojot ne vien Administratīvo pārkāpumu procesa atbalsta sistēmas, kuras pārzinis ir Iekšlietu ministrijas Informācijas centrs, fukncionalitāti, bet arī izmantojot Transportlīdzekļu un to vadītāju valsts reģistra, kura pārzinis ir valsts akciju sabiedrība "Ceļu satiksmes drošības direkcija", funkcionalitāti (sk. Administratīvās atbildības likuma 296.panta pirmās un trešās daļas regulējumu). Līdz ar to, Iekšlietu ministrijas ieskatā, grozāmajā tiesību normā būtu ietverama tieša norāde arī uz Transportlīdzekļu un to vadītāju valsts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13.punktā piedāvāto 16.punkta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attiecīgi precizēt arī projekta sākotnējās ietekmes novērtējuma ziņojuma (anotācijas) 1.3.sadaļā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Īebildums ņemts vērā un veikti papildinājumi noteikumi tekstā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12.1. un 12.2. apakšpunktā minēto informāciju sistēmā iekļauj no Administratīvo pārkāpumu procesa atbalsta sistēmas vai Transportlīdzekļu un to vadītāju valsts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valsts vai pašvaldības iestāde saņemtu sistēmā iekļauto informāciju normatīvajos aktos noteikto funkciju veikšanai, tā nosūta sistēmas pārzinim  pieprasījumu,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sākotnējās ietekmes novērtējuma ziņojumā (anotācijā) skaidrot jēdziena "valsts vai pašvaldības iestāde" tvērumu, lai nerastos pārpratumi par to, vai, piemēram, Latvijas Republikas prokuratūra vai citas institūcijas ietilpst noteikumu projektā lietotajā jēdzienā.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valsts vai pašvaldības iestāde saņemtu sistēmā iekļauto informāciju normatīvajos aktos noteikto funkciju veikšanai, tā nosūta sistēmas pārzinim  pieprasījumu,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6.sadaļu attiecībā uz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8.1.13.sadaļa būtu aizpildāma atbilstoši Vadlīnijās tiesību akta projekta sākotnējās ietekmes novērtēšanai un novērtējuma ziņojuma sagatavošanai vienotajā tiesību aktu izstrādes un saskaņošanas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8.2.2.2. Latvijas Republikā piešķirto personas kodu un dzimšanas datumu. Personai, kurai nav Latvijas Republikā piešķirts personas kods – dzimšanas datumu un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nepieciešamību veikt grozījumus noteikumu regulējumā attiecībā uz datu laukiem, ko uzkrāj par juridisku personu (pēc analoģijas ar fiziskām personām, kurām Latvijas Republikā nav piešķirts personas kods), proti, kādus datus Tiesu informatīvajā sistēmā uzkrāj par juridisko personu, kas nav reģistrēta Latvijas valsts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grozījumi par juridiskajām personām nav plānoti.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8.2.2.2. Latvijas Republikā piešķirto personas kodu un dzimšanas datumu. Personai, kurai nav Latvijas Republikā piešķirts personas kods – dzimšanas datumu un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8.2.2.</w:t>
            </w:r>
            <w:r w:rsidR="00000000" w:rsidRPr="00000000" w:rsidDel="00000000">
              <w:rPr>
                <w:rtl w:val="0"/>
              </w:rPr>
              <w:t xml:space="preserve"> apakšpunktā minēto informāciju – fiziskas personas vārdu (vārdus), uzvārdu, Latvijas Republikā piešķirto personas kodu, dzimšanas datumu, dzimumu, valstisko piederību un tās veidu un deklarētās dzīvesvietas adresi – sistēmā iekļauj no Iedzīvotāju reģistra, ja personai ir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paredzot attiecīgu grozījumu izdarīšanu arī spēkā esošajā Ministru kabineta 2016.gada 20.septembra noteikumu Nr.618 "Tiesu informatīvās sistēmas noteikumi" 14.punktā. Proti, aicinām precizēt minēto tiesību normu, aizstājot tajā vārdus "Iedzīvotāju reģistra" ar vārdiem "Fizisko personu reģistra", jo jau kopš 2021.gada 28.jūnija, kad stājās spēkā Fizisko personu reģistra likums, Iedzīvotāju reģistra darbība ir pārtraukta.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8.2.2.</w:t>
            </w:r>
            <w:r w:rsidR="00000000" w:rsidRPr="00000000" w:rsidDel="00000000">
              <w:rPr>
                <w:rtl w:val="0"/>
              </w:rPr>
              <w:t xml:space="preserve"> apakšpunktā minēto informāciju – fiziskas personas vārdu (vārdus), uzvārdu, Latvijas Republikā piešķirto personas kodu, dzimšanas datumu, dzimumu, valstisko piederību un tās veidu un deklarētās dzīvesvietas adresi – sistēmā iekļauj no Fizisko personu reģistra, ja personai ir personas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ieviestu elektronisku informācijas apriti starp tiesām un valsts vai pašvaldību iestādēm vai citiem subjektiem, sistēmas pārzinis nodrošina informācijas apriti tiešsaistes datu pārraides režīmā, elektronisko lietu katalogā  vai izmantojot citus elektroniskos sakaru līdzekļus (turpmāk - tiešsaistes datu pārraides režīms). Elektroniskā informācijas aprite notiek saskaņā ar vienošanos un tajā noteikto sadarbības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uzmanibu, ka Viedās administrācijas un reģionālās attīstības ministrija sadarbībā ar Valsts digitālās attīstības aģentūru Valsts informācijas resursu, sistēmu un sadarbspējas informācijas sistēmā (VIRSIS) ir izstrādajusi funkcionalitāti, kuras ievarā citas valsts pārvaldes iestādes un pašvaldības var slēgt standartizētas elektronsikās vienošanās. Lai mazinātu administratīvo slogu, lūdzam izvērtēt iespēju normatīvajā aktā noteikt standartizētu elektronisko vienošanās formu, par kuru elektronisko vienošanos varētu noslēgt izmantojot VIRSIS pieejamo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grozījumu tekstā netiek veiktas, tajā pašā laikā vēršam uzmanību, ka Tiesu administrācija jau šobrīd izmanto VIRSIS pieejamo fukncionalitāti, lai slēgtu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ieviestu elektronisku informācijas apriti starp tiesām un valsts vai pašvaldību iestādēm vai citiem subjektiem, sistēmas pārzinis nodrošina informācijas apriti tiešsaistes datu pārraides režīmā, elektronisko lietu katalogā  vai izmantojot citus elektroniskos sakaru līdzekļus (turpmāk - tiešsaistes datu pārraides režīms). Elektroniskā informācijas aprite notiek saskaņā ar vienošanos un tajā noteikto sadarbības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23-TA-1206</w:t>
    </w:r>
    <w:r>
      <w:br/>
    </w:r>
    <w:r w:rsidR="00000000" w:rsidRPr="00000000" w:rsidDel="00000000">
      <w:rPr>
        <w:rtl w:val="0"/>
      </w:rPr>
      <w:t xml:space="preserve">15.05.2026. 12.21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23-TA-1206</w:t>
    </w:r>
    <w:r>
      <w:br/>
    </w:r>
    <w:r w:rsidR="00000000" w:rsidRPr="00000000" w:rsidDel="00000000">
      <w:rPr>
        <w:rtl w:val="0"/>
      </w:rPr>
      <w:t xml:space="preserve">15.05.2026. 12.21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Izziņa_23-TA-1206.docx</dc:title>
</cp:coreProperties>
</file>

<file path=docProps/custom.xml><?xml version="1.0" encoding="utf-8"?>
<Properties xmlns="http://schemas.openxmlformats.org/officeDocument/2006/custom-properties" xmlns:vt="http://schemas.openxmlformats.org/officeDocument/2006/docPropsVTypes"/>
</file>