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25-TA-3005: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sabiedriskā transporta pakalpojumu sniegšanu 2026. gadā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07.01.2026. 20:53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minēts, ka atsevišķām sabiedriskā transporta plānošanas un digitalizācijas vajadzībām ir pārdalīts Eiropas Savienības (turpmāk - ES) fondu finansējums, nodrošinot investīcijas divos no kopumā pieciem minētajiem blokiem, savukārt, atbilstoši Ministru komitejas Eiropas Savienības fondu jautājumos 28.11.2025. sēdes laikā Satiksmes ministrijas sniegtajam priekšlikumam finansējums, kas tika pārdalīts, pirmšķietami paredzēts arī pārējo trīs bloku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informācijas izsekojamības nolūkos informatīvajā ziņojumā detālāk norādīt, cik un kādām aktivitātēm plānots novirzīt ES Kohēzijas politikas programmas 2021.-2027.gadam ietvaros pārdalīto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papildināts ar sekojošu informāciju 12 lapā: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(..)Skaitītāju (SAM 2.3.1.2. pasākums) kopējās plānotās izmaksas 4 999 672 </w:t>
            </w:r>
            <w:r w:rsidR="00000000" w:rsidRPr="00000000" w:rsidDel="00000000">
              <w:rPr>
                <w:i w:val="1"/>
                <w:rtl w:val="0"/>
              </w:rPr>
              <w:t xml:space="preserve">euro</w:t>
            </w:r>
            <w:r w:rsidR="00000000" w:rsidRPr="00000000" w:rsidDel="00000000">
              <w:rPr>
                <w:rtl w:val="0"/>
              </w:rPr>
              <w:t xml:space="preserve">, kas sadalās: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Skaitītāji, datu nodošana, tehniskais atbalsts un 5 gadus garantija 3 817 180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Datu atspoguļošanas monitoringa IS 841 873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Ar ieviešanu saistītas izmaksas (personāls, dokumentācijas izstrādes izmaksas, netiešās izmaksas) 340 619 </w:t>
            </w:r>
            <w:r w:rsidR="00000000" w:rsidRPr="00000000" w:rsidDel="00000000">
              <w:rPr>
                <w:i w:val="1"/>
                <w:rtl w:val="0"/>
              </w:rPr>
              <w:t xml:space="preserve">euro</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(..)Maršruta plānotājs (SAM 1.3.1.1. pasākums) 1 959 984 </w:t>
            </w:r>
            <w:r w:rsidR="00000000" w:rsidRPr="00000000" w:rsidDel="00000000">
              <w:rPr>
                <w:i w:val="1"/>
                <w:rtl w:val="0"/>
              </w:rPr>
              <w:t xml:space="preserve">euro</w:t>
            </w:r>
            <w:r w:rsidR="00000000" w:rsidRPr="00000000" w:rsidDel="00000000">
              <w:rPr>
                <w:rtl w:val="0"/>
              </w:rPr>
              <w:t xml:space="preserve">, kas sadalās: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Maršruta plānošanas rīks 1 730 284 </w:t>
            </w:r>
            <w:r w:rsidR="00000000" w:rsidRPr="00000000" w:rsidDel="00000000">
              <w:rPr>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Ar ieviešanu saistītas izmaksas (personāls, apmācības, testēšana, kvalitātes kontroles izmaksas, netiešās izmaksas) 229 700 </w:t>
            </w:r>
            <w:r w:rsidR="00000000" w:rsidRPr="00000000" w:rsidDel="00000000">
              <w:rPr>
                <w:i w:val="1"/>
                <w:rtl w:val="0"/>
              </w:rPr>
              <w:t xml:space="preserve">euro</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(SAM 2.3.1.2. pasākums) kopējās plānotās izmaksas 4 999 672 </w:t>
            </w:r>
            <w:r w:rsidR="00000000" w:rsidRPr="00000000" w:rsidDel="00000000">
              <w:rPr>
                <w:i w:val="1"/>
                <w:rtl w:val="0"/>
              </w:rPr>
              <w:t xml:space="preserve">euro</w:t>
            </w:r>
            <w:r w:rsidR="00000000" w:rsidRPr="00000000" w:rsidDel="00000000">
              <w:rPr>
                <w:rtl w:val="0"/>
              </w:rPr>
              <w:t xml:space="preserve">, kas sadalās: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Skaitītāji, datu nodošana, tehniskais atbalsts un piecu gadu garantija 3 817 180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Datu atspoguļošanas monitoringa IS 841 873 </w:t>
            </w:r>
            <w:r w:rsidR="00000000" w:rsidRPr="00000000" w:rsidDel="00000000">
              <w:rPr>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Ar ieviešanu saistītas izmaksas (personāls, dokumentācijas izstrādes izmaksas, netiešās izmaksas) 340 619 </w:t>
            </w:r>
            <w:r w:rsidR="00000000" w:rsidRPr="00000000" w:rsidDel="00000000">
              <w:rPr>
                <w:i w:val="1"/>
                <w:rtl w:val="0"/>
              </w:rPr>
              <w:t xml:space="preserve">euro</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ziņojuma sadaļā “Sabiedriskā transporta pakalpojuma izdevumi” norādīt detalizētu informāciju par izmaksu pieaugumu skaidrojumiem attiecīgajām izmaksu kategorijām sabiedriskā transporta pakalpojuma nodrošināšanā nevis sniegt vispārinātas frāzes par atalgojuma, remonta, degvielas vai citu izmaksu pieaugumiem. Vienlaikus vēršam uzmanību, ka ziņojumā tiek sniegta informācija, ka Sabiedriskā transporta padome 2025. gada 4. septembrī pieņēma lēmumu Nr. 3 (prot. Nr. 14, 3.§) par maršrutu tīkla apjoma prognozi 2026. gadam, kas atbilda pieejamajam valsts budžeta ietvaram, savukārt 2025. gada 19. decembrī ir pieņēmusi lēmumu atlikt 2025. gada 4. septembra lēmumu Nr. 3 par maršruta tīkla prognozi 2026. gadam, ja ir pieejami papildu finanšu līdzekļi, tādējādi sabiedriskā transporta pārvadājumu apjomu saglabājot esošajā (2025. gada maršrutu tīkla) apjomā, kas liecina, ka papildu nepieciešamais finansējums būtu sasaistāms ar maršruta tīkla atjaunošanu 2025.gada līmenī nevis izmaksu pieaugumiem. Attiecīgi lūdzam pārskatīt, skaidrot,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attiecīgā informatīvā ziņojuma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ziņojums ir par finansējumu sabiedriskā transporta pakalpojuma sniegšanai, lūdzam precizēt ziņojuma 1. tabulā sniegto informāciju un norādīt ne tikai informāciju par zaudējumiem reģionālās nozīmes pārvadājumiem ar autobusiem, bet arī zaudējumiem reģionālās nozīmes pārvadājumiem ar vilcieniem, kā arī par zaudējumiem, kas tiek kompensēti valstspilsētām maršrutos, kuriem vairāk nekā 30 % no kopējā maršruta garuma ir ārpus pilsētas administratīvās teritorijas, lai sniegtu pilnu informāciju par sabiedriskā transporta pakalpojuma sniegšanas izmaksām nevis selektīvi tikai par pārvadājumiem ar autobusiem.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atspoguļota informatīvā ziņojuma tabulā Nr.1 un tabulā Nr.2.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ziņojumā sniegto informāciju, ka netiek veikta maršruta tīkla samazināšana un tas tiek saglabāts 2025.gadam paredzētajā apmērā, tad secināms, ka papildu finansējuma nepieciešamība būs aktuāla arī 2027. gadam un turpmāk, attiecīgi lūdzam ziņojumu papildināt ar informāciju, kā to plānots risināt. Vēršam uzmanību, ka valsts budžeta ieņēmumi un izdevumi 2026., 2027. un 2028.gadam ir apstiprināti ar likumu “Par valsts budžetu 2026. gadam un budžeta ietvaru 2026., 2027. un 2028. gadam”, tai skaitā nosakot, ka Satiksmes ministrijas budžeta apakšprogrammā 31.06.00 “Dotācija zaudējumu segšanai sabiedriskā transporta pakalpojumu sniedzējiem” ir pieejams finansējums 93 787 014 euro apmērā ik gadu. Aktuālā situācija, fiskālās disciplīnas nosacījumi un politiskās diskusijas minētā likuma sagatavošanas procesā liecina, ka arī turpmāk valsts budžeta finansiālās iespējas ir un būs ierobežotas.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sadaļā "Pārejas posms" sniegta informācija par digitālajiem risinājumiem, kurus plānots izmantot jau 2026.gadā pārskatot pārvadājumu organizēšanas principus un nodrošinot pārvadājumus sevišķi mazapdzīvotās vietās, nesamazinot iedzīvotājiem mobilitātes iespējas.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nepieciešamo papildu finansējumu sabiedriskā transporta pakalpojumu sniegšanai 2026.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saskaņā ar likumu “Par valsts budžetu 2026. gadam un budžeta ietvaru 2026., 2027. un 2028. gadam” Satiksmes ministrijas budžeta apakšprogrammā 31.06.00 “Dotācija zaudējumu segšanai sabiedriskā transporta pakalpojumu sniedzējiem” ir pieejams finansējums 93 787 014 euro apmērā, kas sabiedriskā transporta pakalpojumu sniedzējiem tiek izmaksāts reizi mēnesī vai reizi ceturksnī, kā arī to, ka papildu finansējuma nepieciešamība šobrīd balstīta prognozē, uzskatām, ka MK protokollēmuma projektā ir jāparedz punkts, ar kuru paredzēt pieņemt zināšanai informāciju par 2026.gadam prognozēto papildu finansējumu 9 191 281 euro apmērā un noteikt uzdevumu Satiksmes ministrijai MK rīkojuma projektu par finansējuma piešķiršanu no budžeta programmas “Līdzekļi neparedzētiem gadījumiem” iesniegt izskatīšanai MK 2026.gada 4.ceturksnī, pamatojot pieprasījumu par nepieciešamo finansējumu, ievērojot faktiskos izpildes datus par 2026.gada pirmajiem 3 ceturkšņiem, kā arī izvērtējot Satiksmes ministrijas budžeta izpildes rādītājus citās Satiksmes ministrijas budžeta programmās, vai daļu no nepieciešamā finansējuma nav iespējams segt Satiksmes ministrijai piešķirto budžeta līdzekļu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Faktiskie izpildes dati par 2026.gada pirmajiem 3 ceturkšņiem būs pieejami tikai novembra otrajā pusē, kad jau nebūs iespējams izpildīt līgumsaistības pret pārvadātājiem saskaņā ar noslēgto līgumu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protokollēmumā Satiksmes ministrijai noteikts uzdevums Ministru kabineta rīkojuma projektu par finansējuma piešķiršanu no budžeta programmas "Līdzekļi neparedzētiem gadījumiem" iesniegt izskatīšanai Ministru kabinetā 2026. gada 3. ceturksnī, pamatojot pieprasījumu par nepieciešamo finansējumu, ievērojot faktiskos izpildes datus un precizēto prognozi.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sabiedriskā transporta pakalpojumu sniegšanu 2026. gadā"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nepieciešamo papildu finansējumu sabiedriskā transporta pakalpojumu sniegšanai 2026.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prognozētā papildu finansējuma nepieciešamība 2026.gada laikā nepalielinās, lūdzam protokollēmuma projektā noteikt uzdevumu Satiksmes ministrijai sadarbībā ar VSIA “Autotransporta direkcija” nodrošināt, ka 2026.gadā netiek pieņemti lēmumi, kas paplašina sabiedriskā transporta maršruta tīklu, tādējādi neradot papildu negatīvu ietekmi jau šobrīd prognozētajam nepieciešamā finansējuma apmēram.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 transporta pakalpojuma likuma 5.panta pirmās daļas 6.punkts noteic, ka Sabiedriskā transporta padomes kompetence ir pārraudzīt sabiedriskajam transportam no valsts budžeta iedalīto finanšu līdzekļu administrēšanu, sadali un piešķiršanu.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sabiedriskā transporta pakalpojumu sniegšanu 2026. gadā"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nepieciešamo papildu finansējumu sabiedriskā transporta pakalpojumu sniegšanai 2026.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ziņojumā sniegto informāciju, ka ir izvērtējama autoostu nepieciešamība teritorijās un vietās, kur pasažieru apgrozība ir ļoti zema, kā arī to, ka autoostu izvietojumu un skaitu nosaka attiecīgā pašvaldība, attiecīgi būtu diskutējams ar pašvaldībām jautājums par iespējām finansēt un uzturēt infrastruktūru, lai uzlabotu reģionālā sabiedriskā transporta pakalpojuma kvalitāti, lūdzam protokollēmuma projektu papildināt ar attiecīgu uzdevumu Satiksmes ministrija sadarbībā ar pašvaldībām uzsākt attiecīgās darbības, nosakot arī tā izpildes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Ministru kabineta sēdes protokollēmuma 4.punktu.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sabiedriskā transporta pakalpojumu sniegšanu 2026. gadā"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- 20.01.2026.)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lpp.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"Atbilstoši projekta uzsākšanai no 2023. gada 6. decembra Jūrmalas valstspilsētas pašvaldībai ir pienākums veikt apmaksu par faktiski veikto pasažieru grupas ietvaros nodrošināto braucienu skaitu minētajā reģionālās nozīmes maršruta posmā."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2012. gada 28. augusta noteikumu Nr. 599 “Sabiedriskā transporta pakalpojumu sniegšanas un izmantošanas kārtība” 20. punktu, Ministru kabineta 2015. gada 28. jūlija noteikumu Nr. 435 “Kārtība, kādā nosaka un kompensē ar sabiedriskā transporta pakalpojumu sniegšanu saistītos zaudējumus” 3. pielikumā “Pārskats par sabiedriskā transporta pakalpojumu peļņu vai zaudējumiem” noteikto par 1.rindas aizpildi, kas nosaka, ka ieņēmumi ir visi ieņēmumi, kas ir gūti no biļešu pārdošanas, </w:t>
            </w:r>
            <w:r w:rsidR="00000000" w:rsidRPr="00000000" w:rsidDel="00000000">
              <w:rPr>
                <w:b w:val="1"/>
                <w:rtl w:val="0"/>
              </w:rPr>
              <w:t xml:space="preserve">Jūrmalas valstpilsētas pašvaldība veic apmaksu par visām pārdotajām biļetēm reģionālās nozīmes dzelzceļa maršrutā “Rīga-Tukums II” posmā “Rīga-Ķemeri” un “Ķemeri-Rīga”</w:t>
            </w:r>
            <w:r w:rsidR="00000000" w:rsidRPr="00000000" w:rsidDel="00000000">
              <w:rPr>
                <w:rtl w:val="0"/>
              </w:rPr>
              <w:t xml:space="preserve"> par personām, uz kurām attiecināmi Jūrmalas domes 2023. gada 24. augusta saistošie noteikumi Nr. 21 “Par pabalstu transporta izdevumu segšanai” </w:t>
            </w:r>
            <w:r w:rsidR="00000000" w:rsidRPr="00000000" w:rsidDel="00000000">
              <w:rPr>
                <w:b w:val="1"/>
                <w:rtl w:val="0"/>
              </w:rPr>
              <w:t xml:space="preserve">neatkarīgi no tā, vai persona faktiski izmanto braucienu vai tikai iegādājas 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Izsakām priekšlikumu teikumu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"Atbilstoši projekta uzsākšanai no 2023. gada 6. decembra Jūrmalas valstspilsētas pašvaldība </w:t>
            </w:r>
            <w:r w:rsidR="00000000" w:rsidRPr="00000000" w:rsidDel="00000000">
              <w:rPr>
                <w:b w:val="1"/>
                <w:i w:val="1"/>
                <w:u w:val="single"/>
                <w:rtl w:val="0"/>
              </w:rPr>
              <w:t xml:space="preserve">veic apmaksu par pārdotajām biļetēm minētajā reģionālās nozīmes maršrutu posmā personām, kuras atbilst saistošajos noteikumos noteiktajiem pabalsta saņemšanas kritērijiem un iegādājas brauciena biļeti."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sākumā apmaksa tika veikta par faktiski veikto pasažieru braucieniem.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pārbaudīt ziņojuma tekstā “Saskaņā ar Centrālās statistikas pārvaldes datiem, strādājošo vidējā darba samaksa (neto) pēdējā gadā laikā ir pieaugusi par 9,7 %[1] “ norādītās vērtības atbilstību atsaucei (pēc norādītās atsauces ir cita neto vērtība) un veikt attiecīgus precizējumus.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projektā precizēta informācija ietvertajā atsaucē.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ziņojuma 1.tabulai pievienot skaidrojumu par ailēs “Aprēķinātā zaudējumu kompensācija (dotācija) reģionālās nozīmes dotētajos pārvadājumos ar autobusiem, euro” un “Izmaksātā valsts budžeta dotācija par tekošā gada zaudējumiem reģionālās nozīmes dotētos pārvadājumos ar autobusiem, t.sk. papildu piešķirtais finansējums, euro” norādīto apmēru, ievērojot, ka šobrīd sniegtā informācija nesakrīt ar to, kas bija norādīta Satiksmes ministrijas ikgadēji virzītajos ziņojumos par nepieciešamo papildu finansējumu sabiedriskā transporta pakalpojuma sniegšanai attiecīgajā 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informācija informatīvā ziņojuma 1.tabulā.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2025.gada budžeta gads ir noslēdzies un šobrīd spēkā ir likums “Par valsts budžetu 2026. gadam un budžeta ietvaru 2026., 2027. un 2028. gadam”, attiecīgi lūdzam visā ziņojuma tekstā pārskatīt un precizēt informāciju, norādot aktuālo budžeta likumu un precizējot informāciju par 2025.gadu.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Redakcionāli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sadaļā par Maršruta tīklu sniegta informācija, ka Jūrmalas valstspilsēta īsteno projektu, kura ietvaros piešķir Jūrmalā deklarētajiem iedzīvotājiem reģionālās nozīmes dzelzceļa maršrutā “Rīga-Tukums II” posmā “Rīga-Ķemeri” un “Ķemeri-Rīga” divus bezmaksas braucienus dienā, kas ir nodrošinājis pasažieru skaita palielināšanos attiecīgajos maršrutos. Ņemot vērā minēto, lūdzam precizēt secinājumu ziņojuma 6.lp., ka jauni pasažieri ir piesaistīti, palielinot sabiedriskā transporta pakalpojumu kvalitāti, intensitāti, un salāgojot kustības grafiku.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attiecībā uz minēto vilciena maršrutu, aicinām ziņojumā pievienot informāciju, vai prognozēs ir ņemts vērā, cik lielā mērā pasažieru plūsmu varētu pozitīvi ietekmēt situācija, ka iebraukšanai Jūrmalā ar auto no 01.01.2026. ir noteikta augstāka iebraukšanas maksa.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teksts papildināts ar informāciju, ka maksas par iebraukšanu Jūrmalā ar auto palielinājums pēc būtības neietekmē Jūrmalas iedzīvotājus, līdz ar to nav sagaidāma būtiska ietekme uz pasažieru plūsmu sabiedriskajā transportā. (6.lpp).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informatīvajā ziņojumā ir norādīts, ka: </w:t>
            </w:r>
            <w:r w:rsidR="00000000" w:rsidRPr="00000000" w:rsidDel="00000000">
              <w:rPr>
                <w:i w:val="1"/>
                <w:rtl w:val="0"/>
              </w:rPr>
              <w:t xml:space="preserve">“Ar pašvaldībām 2026. gadā plānota apspriest jauna iniciatīva par pasažieru apmaiņu konkrētā teritorijā un pašvaldību iespējas finansēt un uzturēt papildu infrastruktūru, lai uzlabotu reģionālā sabiedriskā transporta pakalpojuma kvalitāti un nepieļautu esošo autoostu telpu un infrastruktūras degradāciju. Vienlaikus no valsts budžeta tiktu veikti maksājumi pašvaldībām par noteiktu pakalpojumu grozu, kas nepieciešami apkalpes vietu (autoostu, mobilitātes punktu) nodrošināšanai minimālā apjomā.”</w:t>
            </w:r>
            <w:r w:rsidR="00000000" w:rsidRPr="00000000" w:rsidDel="00000000">
              <w:rPr>
                <w:rtl w:val="0"/>
              </w:rPr>
              <w:t xml:space="preserve">, vēršam Satiksmes ministrijas uzmanību, ka valsts budžeta veikti maksājumi pašvaldībām par noteiktu pakalpojumu grozu, kas nepieciešami apkalpes vietu (autoostu, mobilitātes punktu) nodrošināšanai minimālā apjomā ir vērtējami komercdarbības atbalsta kontekstā. Ievērojot minēto, lūdzam Satiksmes ministriju informatīvo ziņojumu papildināt ar norādi, ka, šādā gadījumā, plānojot publisko līdzekļu piešķiršanu, tie tiks vērtēti saskaņā ar Komercdarbības atbalsta kontroles likuma 5. pantā noteiktajām komercdarbības atbalstu raksturojošām pazīmēm un to vienlaicīgas izpildes gadījumā tie tiks ieviesti, piemērojot atbilstošu komercdarbības atbalsta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plānots ieviest kādu papildu maksājumu pašvaldībām. Sarunās ar pašvaldībām plānots diskutēt par iespējām pārvietot autoostas uz valstij piederošām telpām, piemēram, dzelzceļa stacijās.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informatīvajā ziņojumā ir ietverta informācija par papildu publiska finansējuma piešķiršanu saimnieciskās darbības veicējiem, kas nepieciešams pasākumiem saistībā ar sabiedriskā transporta pakalpojumu nodrošināšanu, lai izslēgtu potenciālus komercdarbības atbalsta riskus, lūdzam attiecībā uz minētajiem pasākumiem informatīvajā ziņojumā norādīt, ar kādu komercdarbības atbalsta regulējumu tiks nodrošināts minētā sniegtā komercdarbības atbalsta saderīgums ar Eiropas Savienības iekšējo tirgu. Informējam, ka sabiedriskā transporta pakalpojumu sniegšanas jomā Latvijā komercdarbības atbalsta saderīgums ar  Eiropas Savienības iekšējo tirgu līdz šim ticis nodrošināts, piemērojot Eiropas Parlamenta un Padomes 2007. gada 23. oktobra Regulas Nr.1370/2007  par sabiedriskā pasažieru transporta pakalpojumiem, izmantojot dzelzceļu un autoceļus, ar ko atceļ Padomes Regulu (EEK) Nr. 1191/69 un Padomes Regulu (EEK) Nr. 1107/70,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Sarunās ar pašvaldībām plānots diskutēt par iespējām pārvietot autoostas uz valstij piederošām telpām, piemēram, dzelzceļa stacijās.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25-TA-3005</w:t>
    </w:r>
    <w:r>
      <w:br/>
    </w:r>
    <w:r w:rsidR="00000000" w:rsidRPr="00000000" w:rsidDel="00000000">
      <w:rPr>
        <w:rtl w:val="0"/>
      </w:rPr>
      <w:t xml:space="preserve">23.01.2026. 22.35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25-TA-3005</w:t>
    </w:r>
    <w:r>
      <w:br/>
    </w:r>
    <w:r w:rsidR="00000000" w:rsidRPr="00000000" w:rsidDel="00000000">
      <w:rPr>
        <w:rtl w:val="0"/>
      </w:rPr>
      <w:t xml:space="preserve">23.01.2026. 22.35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Izziņa_25-TA-3005.docx</dc:title>
</cp:coreProperties>
</file>

<file path=docProps/custom.xml><?xml version="1.0" encoding="utf-8"?>
<Properties xmlns="http://schemas.openxmlformats.org/officeDocument/2006/custom-properties" xmlns:vt="http://schemas.openxmlformats.org/officeDocument/2006/docPropsVTypes"/>
</file>