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2B6347" w14:textId="4E2AD7C1" w:rsidR="00677E8B" w:rsidRPr="00E50D19" w:rsidRDefault="00677E8B" w:rsidP="00677E8B">
      <w:pPr>
        <w:contextualSpacing/>
        <w:rPr>
          <w:sz w:val="28"/>
          <w:szCs w:val="28"/>
        </w:rPr>
      </w:pPr>
      <w:r w:rsidRPr="00E50D19">
        <w:rPr>
          <w:sz w:val="28"/>
          <w:szCs w:val="28"/>
        </w:rPr>
        <w:t xml:space="preserve">Uz </w:t>
      </w:r>
      <w:r w:rsidR="00936BCC" w:rsidRPr="00E50D19">
        <w:rPr>
          <w:sz w:val="28"/>
          <w:szCs w:val="28"/>
        </w:rPr>
        <w:t>25</w:t>
      </w:r>
      <w:r w:rsidRPr="00E50D19">
        <w:rPr>
          <w:sz w:val="28"/>
          <w:szCs w:val="28"/>
        </w:rPr>
        <w:t>.02.2021. VSS prot. Nr. </w:t>
      </w:r>
      <w:r w:rsidR="00936BCC" w:rsidRPr="00E50D19">
        <w:rPr>
          <w:sz w:val="28"/>
          <w:szCs w:val="28"/>
        </w:rPr>
        <w:t>8</w:t>
      </w:r>
      <w:r w:rsidRPr="00E50D19">
        <w:rPr>
          <w:sz w:val="28"/>
          <w:szCs w:val="28"/>
        </w:rPr>
        <w:t xml:space="preserve"> 1. § (VSS-1</w:t>
      </w:r>
      <w:r w:rsidR="00936BCC" w:rsidRPr="00E50D19">
        <w:rPr>
          <w:sz w:val="28"/>
          <w:szCs w:val="28"/>
        </w:rPr>
        <w:t>51</w:t>
      </w:r>
      <w:r w:rsidRPr="00E50D19">
        <w:rPr>
          <w:sz w:val="28"/>
          <w:szCs w:val="28"/>
        </w:rPr>
        <w:t>)</w:t>
      </w:r>
    </w:p>
    <w:p w14:paraId="0B8C6D5E" w14:textId="77777777" w:rsidR="00677E8B" w:rsidRPr="00E50D19" w:rsidRDefault="00677E8B" w:rsidP="00677E8B">
      <w:pPr>
        <w:ind w:firstLine="720"/>
        <w:contextualSpacing/>
        <w:jc w:val="right"/>
        <w:rPr>
          <w:sz w:val="28"/>
          <w:szCs w:val="28"/>
        </w:rPr>
      </w:pPr>
    </w:p>
    <w:p w14:paraId="7F679AAC" w14:textId="21732B11" w:rsidR="00677E8B" w:rsidRPr="00E50D19" w:rsidRDefault="00936BCC" w:rsidP="00677E8B">
      <w:pPr>
        <w:ind w:firstLine="720"/>
        <w:contextualSpacing/>
        <w:jc w:val="right"/>
        <w:rPr>
          <w:b/>
          <w:noProof/>
          <w:sz w:val="28"/>
          <w:szCs w:val="28"/>
        </w:rPr>
      </w:pPr>
      <w:r w:rsidRPr="00E50D19">
        <w:rPr>
          <w:b/>
          <w:noProof/>
          <w:sz w:val="28"/>
          <w:szCs w:val="28"/>
        </w:rPr>
        <w:t>Ekonomikas</w:t>
      </w:r>
      <w:r w:rsidR="00677E8B" w:rsidRPr="00E50D19">
        <w:rPr>
          <w:b/>
          <w:noProof/>
          <w:sz w:val="28"/>
          <w:szCs w:val="28"/>
        </w:rPr>
        <w:t xml:space="preserve"> ministrijai</w:t>
      </w:r>
    </w:p>
    <w:p w14:paraId="233B1A3D" w14:textId="77777777" w:rsidR="00677E8B" w:rsidRPr="00E50D19" w:rsidRDefault="00677E8B" w:rsidP="00677E8B">
      <w:pPr>
        <w:ind w:firstLine="720"/>
        <w:contextualSpacing/>
        <w:jc w:val="right"/>
        <w:rPr>
          <w:b/>
          <w:noProof/>
          <w:sz w:val="28"/>
          <w:szCs w:val="28"/>
        </w:rPr>
      </w:pPr>
    </w:p>
    <w:p w14:paraId="3AAC99E8" w14:textId="7295C681" w:rsidR="00192E72" w:rsidRPr="00E50D19" w:rsidRDefault="00677E8B" w:rsidP="00677E8B">
      <w:pPr>
        <w:pStyle w:val="NormalWeb"/>
        <w:spacing w:before="0" w:after="0"/>
        <w:ind w:right="4549"/>
        <w:contextualSpacing/>
        <w:jc w:val="both"/>
        <w:rPr>
          <w:i/>
          <w:sz w:val="28"/>
          <w:szCs w:val="28"/>
        </w:rPr>
      </w:pPr>
      <w:bookmarkStart w:id="0" w:name="OLE_LINK12"/>
      <w:bookmarkStart w:id="1" w:name="OLE_LINK11"/>
      <w:bookmarkStart w:id="2" w:name="OLE_LINK1"/>
      <w:bookmarkStart w:id="3" w:name="OLE_LINK2"/>
      <w:bookmarkStart w:id="4" w:name="OLE_LINK3"/>
      <w:bookmarkStart w:id="5" w:name="OLE_LINK4"/>
      <w:bookmarkStart w:id="6" w:name="OLE_LINK5"/>
      <w:bookmarkStart w:id="7" w:name="OLE_LINK6"/>
      <w:bookmarkStart w:id="8" w:name="OLE_LINK7"/>
      <w:bookmarkStart w:id="9" w:name="OLE_LINK8"/>
      <w:bookmarkStart w:id="10" w:name="OLE_LINK9"/>
      <w:bookmarkStart w:id="11" w:name="OLE_LINK10"/>
      <w:bookmarkStart w:id="12" w:name="OLE_LINK13"/>
      <w:bookmarkStart w:id="13" w:name="OLE_LINK14"/>
      <w:bookmarkStart w:id="14" w:name="OLE_LINK15"/>
      <w:bookmarkStart w:id="15" w:name="OLE_LINK16"/>
      <w:bookmarkStart w:id="16" w:name="OLE_LINK17"/>
      <w:bookmarkStart w:id="17" w:name="OLE_LINK18"/>
      <w:bookmarkStart w:id="18" w:name="OLE_LINK29"/>
      <w:bookmarkStart w:id="19" w:name="OLE_LINK19"/>
      <w:bookmarkStart w:id="20" w:name="OLE_LINK20"/>
      <w:bookmarkStart w:id="21" w:name="OLE_LINK21"/>
      <w:bookmarkStart w:id="22" w:name="OLE_LINK22"/>
      <w:bookmarkStart w:id="23" w:name="OLE_LINK23"/>
      <w:bookmarkStart w:id="24" w:name="OLE_LINK24"/>
      <w:bookmarkStart w:id="25" w:name="OLE_LINK25"/>
      <w:bookmarkStart w:id="26" w:name="OLE_LINK26"/>
      <w:bookmarkStart w:id="27" w:name="OLE_LINK27"/>
      <w:bookmarkStart w:id="28" w:name="OLE_LINK28"/>
      <w:bookmarkStart w:id="29" w:name="OLE_LINK32"/>
      <w:r w:rsidRPr="00E50D19">
        <w:rPr>
          <w:i/>
          <w:sz w:val="28"/>
          <w:szCs w:val="28"/>
        </w:rPr>
        <w:t>Atzinums pa</w:t>
      </w:r>
      <w:bookmarkEnd w:id="0"/>
      <w:bookmarkEnd w:id="1"/>
      <w:r w:rsidRPr="00E50D19">
        <w:rPr>
          <w:i/>
          <w:sz w:val="28"/>
          <w:szCs w:val="28"/>
        </w:rPr>
        <w:t xml:space="preserve">r Ministru kabineta </w:t>
      </w:r>
      <w:r w:rsidR="00936BCC" w:rsidRPr="00E50D19">
        <w:rPr>
          <w:i/>
          <w:sz w:val="28"/>
          <w:szCs w:val="28"/>
        </w:rPr>
        <w:t xml:space="preserve">noteikumu </w:t>
      </w:r>
      <w:r w:rsidRPr="00E50D19">
        <w:rPr>
          <w:i/>
          <w:sz w:val="28"/>
          <w:szCs w:val="28"/>
        </w:rPr>
        <w:t xml:space="preserve">projektu </w:t>
      </w:r>
      <w:r w:rsidR="00936BCC" w:rsidRPr="00E50D19">
        <w:rPr>
          <w:i/>
          <w:sz w:val="28"/>
          <w:szCs w:val="28"/>
        </w:rPr>
        <w:t xml:space="preserve">"Grozījumi Ministru kabineta 2016.gada 15.jūlija noteikumos Nr.469 "Noteikumi par paralēlajiem aizdevumiem saimnieciskās darbības veicējiem konkurētspējas uzlabošanai"" </w:t>
      </w:r>
      <w:r w:rsidRPr="00E50D19">
        <w:rPr>
          <w:i/>
          <w:sz w:val="28"/>
          <w:szCs w:val="28"/>
        </w:rPr>
        <w:t>un tā anotāciju (VSS-1</w:t>
      </w:r>
      <w:r w:rsidR="00936BCC" w:rsidRPr="00E50D19">
        <w:rPr>
          <w:i/>
          <w:sz w:val="28"/>
          <w:szCs w:val="28"/>
        </w:rPr>
        <w:t>51</w:t>
      </w:r>
      <w:r w:rsidRPr="00E50D19">
        <w:rPr>
          <w:i/>
          <w:sz w:val="28"/>
          <w:szCs w:val="28"/>
        </w:rPr>
        <w:t>)</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6F21FAFD" w14:textId="77777777" w:rsidR="00192E72" w:rsidRPr="00E50D19" w:rsidRDefault="00192E72" w:rsidP="00677E8B">
      <w:pPr>
        <w:pStyle w:val="NormalWeb"/>
        <w:spacing w:before="0" w:after="0"/>
        <w:ind w:right="13" w:firstLine="720"/>
        <w:contextualSpacing/>
        <w:jc w:val="both"/>
        <w:rPr>
          <w:sz w:val="28"/>
          <w:szCs w:val="28"/>
        </w:rPr>
      </w:pPr>
    </w:p>
    <w:p w14:paraId="79CF875A" w14:textId="3FBF6B63" w:rsidR="00677E8B" w:rsidRPr="00E50D19" w:rsidRDefault="00677E8B" w:rsidP="00677E8B">
      <w:pPr>
        <w:pStyle w:val="NormalWeb"/>
        <w:spacing w:before="0" w:after="0"/>
        <w:ind w:right="13" w:firstLine="720"/>
        <w:contextualSpacing/>
        <w:jc w:val="both"/>
        <w:rPr>
          <w:iCs/>
          <w:sz w:val="28"/>
          <w:szCs w:val="28"/>
        </w:rPr>
      </w:pPr>
      <w:r w:rsidRPr="00E50D19">
        <w:rPr>
          <w:sz w:val="28"/>
          <w:szCs w:val="28"/>
        </w:rPr>
        <w:t xml:space="preserve">Tieslietu ministrija ir izskatījusi </w:t>
      </w:r>
      <w:r w:rsidR="00936BCC" w:rsidRPr="00E50D19">
        <w:rPr>
          <w:sz w:val="28"/>
          <w:szCs w:val="28"/>
        </w:rPr>
        <w:t>Ekonomikas</w:t>
      </w:r>
      <w:r w:rsidRPr="00E50D19">
        <w:rPr>
          <w:sz w:val="28"/>
          <w:szCs w:val="28"/>
        </w:rPr>
        <w:t xml:space="preserve"> ministrijas sagatavoto Ministru kabineta </w:t>
      </w:r>
      <w:r w:rsidR="00936BCC" w:rsidRPr="00E50D19">
        <w:rPr>
          <w:sz w:val="28"/>
          <w:szCs w:val="28"/>
        </w:rPr>
        <w:t>noteikumu</w:t>
      </w:r>
      <w:r w:rsidRPr="00E50D19">
        <w:rPr>
          <w:sz w:val="28"/>
          <w:szCs w:val="28"/>
        </w:rPr>
        <w:t xml:space="preserve"> projektu </w:t>
      </w:r>
      <w:r w:rsidR="00936BCC" w:rsidRPr="00E50D19">
        <w:rPr>
          <w:sz w:val="28"/>
          <w:szCs w:val="28"/>
        </w:rPr>
        <w:t xml:space="preserve">"Grozījumi Ministru kabineta 2016.gada 15.jūlija noteikumos Nr.469 "Noteikumi par paralēlajiem aizdevumiem saimnieciskās darbības veicējiem konkurētspējas uzlabošanai"" </w:t>
      </w:r>
      <w:r w:rsidRPr="00E50D19">
        <w:rPr>
          <w:sz w:val="28"/>
          <w:szCs w:val="28"/>
        </w:rPr>
        <w:t xml:space="preserve">(turpmāk – </w:t>
      </w:r>
      <w:r w:rsidR="00936BCC" w:rsidRPr="00E50D19">
        <w:rPr>
          <w:sz w:val="28"/>
          <w:szCs w:val="28"/>
        </w:rPr>
        <w:t>p</w:t>
      </w:r>
      <w:r w:rsidRPr="00E50D19">
        <w:rPr>
          <w:sz w:val="28"/>
          <w:szCs w:val="28"/>
        </w:rPr>
        <w:t>rojekts) un</w:t>
      </w:r>
      <w:r w:rsidRPr="00E50D19">
        <w:rPr>
          <w:i/>
          <w:sz w:val="28"/>
          <w:szCs w:val="28"/>
        </w:rPr>
        <w:t xml:space="preserve"> </w:t>
      </w:r>
      <w:r w:rsidRPr="00E50D19">
        <w:rPr>
          <w:iCs/>
          <w:sz w:val="28"/>
          <w:szCs w:val="28"/>
        </w:rPr>
        <w:t>tā anotāciju (VSS-1</w:t>
      </w:r>
      <w:r w:rsidR="00936BCC" w:rsidRPr="00E50D19">
        <w:rPr>
          <w:iCs/>
          <w:sz w:val="28"/>
          <w:szCs w:val="28"/>
        </w:rPr>
        <w:t>51</w:t>
      </w:r>
      <w:r w:rsidRPr="00E50D19">
        <w:rPr>
          <w:iCs/>
          <w:sz w:val="28"/>
          <w:szCs w:val="28"/>
        </w:rPr>
        <w:t>) un atbalsta tā tālāku virzību, izsakot šādu</w:t>
      </w:r>
      <w:r w:rsidR="00936BCC" w:rsidRPr="00E50D19">
        <w:rPr>
          <w:iCs/>
          <w:sz w:val="28"/>
          <w:szCs w:val="28"/>
        </w:rPr>
        <w:t>s</w:t>
      </w:r>
      <w:r w:rsidRPr="00E50D19">
        <w:rPr>
          <w:iCs/>
          <w:sz w:val="28"/>
          <w:szCs w:val="28"/>
        </w:rPr>
        <w:t xml:space="preserve"> iebildumu</w:t>
      </w:r>
      <w:r w:rsidR="00936BCC" w:rsidRPr="00E50D19">
        <w:rPr>
          <w:iCs/>
          <w:sz w:val="28"/>
          <w:szCs w:val="28"/>
        </w:rPr>
        <w:t>s</w:t>
      </w:r>
      <w:r w:rsidRPr="00E50D19">
        <w:rPr>
          <w:iCs/>
          <w:sz w:val="28"/>
          <w:szCs w:val="28"/>
        </w:rPr>
        <w:t>:</w:t>
      </w:r>
    </w:p>
    <w:p w14:paraId="4DB92A39" w14:textId="5EB3B33A" w:rsidR="00936BCC" w:rsidRPr="00E50D19" w:rsidRDefault="00936BCC" w:rsidP="00936BCC">
      <w:pPr>
        <w:pStyle w:val="ListParagraph"/>
        <w:numPr>
          <w:ilvl w:val="0"/>
          <w:numId w:val="12"/>
        </w:numPr>
        <w:tabs>
          <w:tab w:val="left" w:pos="709"/>
          <w:tab w:val="left" w:pos="993"/>
        </w:tabs>
        <w:spacing w:after="0" w:line="240" w:lineRule="auto"/>
        <w:ind w:left="0" w:firstLine="705"/>
        <w:jc w:val="both"/>
        <w:rPr>
          <w:rFonts w:ascii="Times New Roman" w:hAnsi="Times New Roman" w:cs="Times New Roman"/>
          <w:bCs/>
          <w:sz w:val="28"/>
          <w:szCs w:val="28"/>
        </w:rPr>
      </w:pPr>
      <w:r w:rsidRPr="00E50D19">
        <w:rPr>
          <w:rFonts w:ascii="Times New Roman" w:hAnsi="Times New Roman" w:cs="Times New Roman"/>
          <w:bCs/>
          <w:sz w:val="28"/>
          <w:szCs w:val="28"/>
        </w:rPr>
        <w:t xml:space="preserve">Tieslietu ministrijas ieskatā nepieciešams izvērtēt projekta 10. punktā izteiktā 22.1.2. apakšpunkta redakciju un piemērošanu praksē, ņemot vērā, ka </w:t>
      </w:r>
      <w:r w:rsidRPr="00E50D19">
        <w:rPr>
          <w:rFonts w:ascii="Times New Roman" w:eastAsia="Times New Roman" w:hAnsi="Times New Roman" w:cs="Times New Roman"/>
          <w:sz w:val="28"/>
          <w:szCs w:val="28"/>
          <w:lang w:eastAsia="lv-LV"/>
        </w:rPr>
        <w:t>Komisijas regulas Nr. </w:t>
      </w:r>
      <w:hyperlink r:id="rId8" w:tgtFrame="_blank" w:history="1">
        <w:r w:rsidRPr="00E50D19">
          <w:rPr>
            <w:rFonts w:ascii="Times New Roman" w:eastAsia="Times New Roman" w:hAnsi="Times New Roman" w:cs="Times New Roman"/>
            <w:sz w:val="28"/>
            <w:szCs w:val="28"/>
            <w:lang w:eastAsia="lv-LV"/>
          </w:rPr>
          <w:t>651/2014</w:t>
        </w:r>
      </w:hyperlink>
      <w:r w:rsidRPr="00E50D19">
        <w:rPr>
          <w:rFonts w:ascii="Times New Roman" w:eastAsia="Times New Roman" w:hAnsi="Times New Roman" w:cs="Times New Roman"/>
          <w:sz w:val="28"/>
          <w:szCs w:val="28"/>
          <w:lang w:eastAsia="lv-LV"/>
        </w:rPr>
        <w:t> 1. panta 4. punkta "c" apakšpunktā minēti vairāki izņēmumi. Aicinām izvērtēt nepieciešamību minētajā 22.1.2. apakšpunktā iekļaut konkrētu Komisijas regulas Nr. </w:t>
      </w:r>
      <w:hyperlink r:id="rId9" w:tgtFrame="_blank" w:history="1">
        <w:r w:rsidRPr="00E50D19">
          <w:rPr>
            <w:rFonts w:ascii="Times New Roman" w:eastAsia="Times New Roman" w:hAnsi="Times New Roman" w:cs="Times New Roman"/>
            <w:sz w:val="28"/>
            <w:szCs w:val="28"/>
            <w:lang w:eastAsia="lv-LV"/>
          </w:rPr>
          <w:t>651/2014</w:t>
        </w:r>
      </w:hyperlink>
      <w:r w:rsidRPr="00E50D19">
        <w:rPr>
          <w:rFonts w:ascii="Times New Roman" w:eastAsia="Times New Roman" w:hAnsi="Times New Roman" w:cs="Times New Roman"/>
          <w:sz w:val="28"/>
          <w:szCs w:val="28"/>
          <w:lang w:eastAsia="lv-LV"/>
        </w:rPr>
        <w:t xml:space="preserve"> 1. panta 4. punkta "c" apakšpunktā minētu izņēmumu – paredzot, ka paralēlo aizdevumu piešķir </w:t>
      </w:r>
      <w:r w:rsidRPr="00E50D19">
        <w:rPr>
          <w:rFonts w:ascii="Times New Roman" w:hAnsi="Times New Roman" w:cs="Times New Roman"/>
          <w:sz w:val="28"/>
          <w:szCs w:val="28"/>
        </w:rPr>
        <w:t>uzņēmumiem, kuri 2019. gada 31. decembrī nebija nonākuši grūtībās, taču kļuva par grūtībās nonākušiem uzņēmumiem laikā no 2020. gada 1. janvāra līdz 2021. gada 30. jūnijam.</w:t>
      </w:r>
    </w:p>
    <w:p w14:paraId="1D29750B" w14:textId="34D35C67" w:rsidR="00981F58" w:rsidRPr="00E50D19" w:rsidRDefault="00981F58" w:rsidP="00936BCC">
      <w:pPr>
        <w:pStyle w:val="ListParagraph"/>
        <w:numPr>
          <w:ilvl w:val="0"/>
          <w:numId w:val="12"/>
        </w:numPr>
        <w:tabs>
          <w:tab w:val="left" w:pos="709"/>
          <w:tab w:val="left" w:pos="993"/>
        </w:tabs>
        <w:spacing w:after="0" w:line="240" w:lineRule="auto"/>
        <w:ind w:left="0" w:firstLine="705"/>
        <w:jc w:val="both"/>
        <w:rPr>
          <w:rFonts w:ascii="Times New Roman" w:hAnsi="Times New Roman" w:cs="Times New Roman"/>
          <w:bCs/>
          <w:sz w:val="28"/>
          <w:szCs w:val="28"/>
        </w:rPr>
      </w:pPr>
      <w:r w:rsidRPr="00E50D19">
        <w:rPr>
          <w:rFonts w:ascii="Times New Roman" w:hAnsi="Times New Roman" w:cs="Times New Roman"/>
          <w:bCs/>
          <w:sz w:val="28"/>
          <w:szCs w:val="28"/>
        </w:rPr>
        <w:t>Tieslietu ministrijas ieskatā nepieciešams skaidrot</w:t>
      </w:r>
      <w:r w:rsidR="00936BCC" w:rsidRPr="00E50D19">
        <w:rPr>
          <w:rFonts w:ascii="Times New Roman" w:hAnsi="Times New Roman" w:cs="Times New Roman"/>
          <w:bCs/>
          <w:sz w:val="28"/>
          <w:szCs w:val="28"/>
        </w:rPr>
        <w:t xml:space="preserve"> projekta 22. punktā izteiktā 40.</w:t>
      </w:r>
      <w:r w:rsidR="00936BCC" w:rsidRPr="00E50D19">
        <w:rPr>
          <w:rFonts w:ascii="Times New Roman" w:hAnsi="Times New Roman" w:cs="Times New Roman"/>
          <w:bCs/>
          <w:sz w:val="28"/>
          <w:szCs w:val="28"/>
          <w:vertAlign w:val="superscript"/>
        </w:rPr>
        <w:t>1</w:t>
      </w:r>
      <w:r w:rsidRPr="00E50D19">
        <w:rPr>
          <w:rFonts w:ascii="Times New Roman" w:hAnsi="Times New Roman" w:cs="Times New Roman"/>
          <w:bCs/>
          <w:sz w:val="28"/>
          <w:szCs w:val="28"/>
        </w:rPr>
        <w:t> </w:t>
      </w:r>
      <w:r w:rsidR="00936BCC" w:rsidRPr="00E50D19">
        <w:rPr>
          <w:rFonts w:ascii="Times New Roman" w:hAnsi="Times New Roman" w:cs="Times New Roman"/>
          <w:bCs/>
          <w:sz w:val="28"/>
          <w:szCs w:val="28"/>
        </w:rPr>
        <w:t xml:space="preserve">punkta nosacījumu atbilstību Komisijas regulas Nr. Nr.1407/2013 4. panta 3.punkta </w:t>
      </w:r>
      <w:r w:rsidR="00A76213" w:rsidRPr="00E50D19">
        <w:rPr>
          <w:rFonts w:ascii="Times New Roman" w:eastAsia="Times New Roman" w:hAnsi="Times New Roman" w:cs="Times New Roman"/>
          <w:sz w:val="28"/>
          <w:szCs w:val="28"/>
          <w:lang w:eastAsia="lv-LV"/>
        </w:rPr>
        <w:t>"</w:t>
      </w:r>
      <w:r w:rsidR="00936BCC" w:rsidRPr="00E50D19">
        <w:rPr>
          <w:rFonts w:ascii="Times New Roman" w:hAnsi="Times New Roman" w:cs="Times New Roman"/>
          <w:bCs/>
          <w:sz w:val="28"/>
          <w:szCs w:val="28"/>
        </w:rPr>
        <w:t>c</w:t>
      </w:r>
      <w:r w:rsidR="00A76213" w:rsidRPr="00E50D19">
        <w:rPr>
          <w:rFonts w:ascii="Times New Roman" w:eastAsia="Times New Roman" w:hAnsi="Times New Roman" w:cs="Times New Roman"/>
          <w:sz w:val="28"/>
          <w:szCs w:val="28"/>
          <w:lang w:eastAsia="lv-LV"/>
        </w:rPr>
        <w:t>"</w:t>
      </w:r>
      <w:r w:rsidR="00936BCC" w:rsidRPr="00E50D19">
        <w:rPr>
          <w:rFonts w:ascii="Times New Roman" w:hAnsi="Times New Roman" w:cs="Times New Roman"/>
          <w:bCs/>
          <w:sz w:val="28"/>
          <w:szCs w:val="28"/>
        </w:rPr>
        <w:t xml:space="preserve"> apakšpunktam, kas nosaka: </w:t>
      </w:r>
      <w:r w:rsidR="00A76213" w:rsidRPr="00E50D19">
        <w:rPr>
          <w:rFonts w:ascii="Times New Roman" w:eastAsia="Times New Roman" w:hAnsi="Times New Roman" w:cs="Times New Roman"/>
          <w:sz w:val="28"/>
          <w:szCs w:val="28"/>
          <w:lang w:eastAsia="lv-LV"/>
        </w:rPr>
        <w:t>"</w:t>
      </w:r>
      <w:r w:rsidR="00936BCC" w:rsidRPr="00E50D19">
        <w:rPr>
          <w:rFonts w:ascii="Times New Roman" w:eastAsia="Times New Roman" w:hAnsi="Times New Roman" w:cs="Times New Roman"/>
          <w:sz w:val="28"/>
          <w:szCs w:val="28"/>
          <w:shd w:val="clear" w:color="auto" w:fill="FFFFFF"/>
          <w:lang w:eastAsia="en-GB"/>
        </w:rPr>
        <w:t>Atbalstu aizdevumu veidā uzskata par pārredzamu </w:t>
      </w:r>
      <w:proofErr w:type="spellStart"/>
      <w:r w:rsidR="00936BCC" w:rsidRPr="00E50D19">
        <w:rPr>
          <w:rFonts w:ascii="Times New Roman" w:eastAsia="Times New Roman" w:hAnsi="Times New Roman" w:cs="Times New Roman"/>
          <w:i/>
          <w:iCs/>
          <w:sz w:val="28"/>
          <w:szCs w:val="28"/>
          <w:lang w:eastAsia="en-GB"/>
        </w:rPr>
        <w:t>de</w:t>
      </w:r>
      <w:proofErr w:type="spellEnd"/>
      <w:r w:rsidR="00936BCC" w:rsidRPr="00E50D19">
        <w:rPr>
          <w:rFonts w:ascii="Times New Roman" w:eastAsia="Times New Roman" w:hAnsi="Times New Roman" w:cs="Times New Roman"/>
          <w:i/>
          <w:iCs/>
          <w:sz w:val="28"/>
          <w:szCs w:val="28"/>
          <w:lang w:eastAsia="en-GB"/>
        </w:rPr>
        <w:t xml:space="preserve"> </w:t>
      </w:r>
      <w:proofErr w:type="spellStart"/>
      <w:r w:rsidR="00936BCC" w:rsidRPr="00E50D19">
        <w:rPr>
          <w:rFonts w:ascii="Times New Roman" w:eastAsia="Times New Roman" w:hAnsi="Times New Roman" w:cs="Times New Roman"/>
          <w:i/>
          <w:iCs/>
          <w:sz w:val="28"/>
          <w:szCs w:val="28"/>
          <w:lang w:eastAsia="en-GB"/>
        </w:rPr>
        <w:t>minimis</w:t>
      </w:r>
      <w:proofErr w:type="spellEnd"/>
      <w:r w:rsidR="00936BCC" w:rsidRPr="00E50D19">
        <w:rPr>
          <w:rFonts w:ascii="Times New Roman" w:eastAsia="Times New Roman" w:hAnsi="Times New Roman" w:cs="Times New Roman"/>
          <w:sz w:val="28"/>
          <w:szCs w:val="28"/>
          <w:shd w:val="clear" w:color="auto" w:fill="FFFFFF"/>
          <w:lang w:eastAsia="en-GB"/>
        </w:rPr>
        <w:t> atbalstu, ja bruto dotācijas ekvivalents ir aprēķināts, pamatojoties uz piešķiršanas laikā piemērojamo atsauces likmi.</w:t>
      </w:r>
      <w:r w:rsidR="00A76213" w:rsidRPr="00E50D19">
        <w:rPr>
          <w:rFonts w:ascii="Times New Roman" w:eastAsia="Times New Roman" w:hAnsi="Times New Roman" w:cs="Times New Roman"/>
          <w:sz w:val="28"/>
          <w:szCs w:val="28"/>
          <w:lang w:eastAsia="lv-LV"/>
        </w:rPr>
        <w:t>"</w:t>
      </w:r>
    </w:p>
    <w:p w14:paraId="5395A712" w14:textId="2486D60D" w:rsidR="00936BCC" w:rsidRPr="00E50D19" w:rsidRDefault="00981F58" w:rsidP="00981F58">
      <w:pPr>
        <w:tabs>
          <w:tab w:val="left" w:pos="709"/>
          <w:tab w:val="left" w:pos="993"/>
        </w:tabs>
        <w:rPr>
          <w:bCs/>
          <w:sz w:val="28"/>
          <w:szCs w:val="28"/>
        </w:rPr>
      </w:pPr>
      <w:r w:rsidRPr="00E50D19">
        <w:rPr>
          <w:rFonts w:eastAsia="Times New Roman"/>
          <w:sz w:val="28"/>
          <w:szCs w:val="28"/>
          <w:shd w:val="clear" w:color="auto" w:fill="FFFFFF"/>
          <w:lang w:eastAsia="en-GB"/>
        </w:rPr>
        <w:tab/>
      </w:r>
      <w:r w:rsidR="00936BCC" w:rsidRPr="00E50D19">
        <w:rPr>
          <w:rFonts w:eastAsia="Times New Roman"/>
          <w:sz w:val="28"/>
          <w:szCs w:val="28"/>
          <w:shd w:val="clear" w:color="auto" w:fill="FFFFFF"/>
          <w:lang w:eastAsia="en-GB"/>
        </w:rPr>
        <w:t>Vienlaikus norādām, ka regulas nosacījumus nedrīkst sašaurināt vai paplašināt, kas var ietekmēt tās vienveidīgu piemērošanu dalībvalstīs.</w:t>
      </w:r>
      <w:r w:rsidR="00A76213" w:rsidRPr="00E50D19">
        <w:rPr>
          <w:rFonts w:eastAsia="Times New Roman"/>
          <w:sz w:val="28"/>
          <w:szCs w:val="28"/>
          <w:shd w:val="clear" w:color="auto" w:fill="FFFFFF"/>
          <w:lang w:eastAsia="en-GB"/>
        </w:rPr>
        <w:t xml:space="preserve"> </w:t>
      </w:r>
    </w:p>
    <w:p w14:paraId="2F3739A1" w14:textId="21B62156" w:rsidR="00936BCC" w:rsidRPr="00E50D19" w:rsidRDefault="00981F58" w:rsidP="00936BCC">
      <w:pPr>
        <w:pStyle w:val="ListParagraph"/>
        <w:numPr>
          <w:ilvl w:val="0"/>
          <w:numId w:val="12"/>
        </w:numPr>
        <w:tabs>
          <w:tab w:val="left" w:pos="709"/>
          <w:tab w:val="left" w:pos="993"/>
        </w:tabs>
        <w:spacing w:after="0" w:line="240" w:lineRule="auto"/>
        <w:ind w:left="0" w:firstLine="705"/>
        <w:jc w:val="both"/>
        <w:rPr>
          <w:rFonts w:ascii="Times New Roman" w:hAnsi="Times New Roman" w:cs="Times New Roman"/>
          <w:bCs/>
          <w:sz w:val="28"/>
          <w:szCs w:val="28"/>
        </w:rPr>
      </w:pPr>
      <w:r w:rsidRPr="00E50D19">
        <w:rPr>
          <w:rFonts w:ascii="Times New Roman" w:hAnsi="Times New Roman" w:cs="Times New Roman"/>
          <w:bCs/>
          <w:sz w:val="28"/>
          <w:szCs w:val="28"/>
        </w:rPr>
        <w:lastRenderedPageBreak/>
        <w:t>Tieslietu ministrijas ieskatā n</w:t>
      </w:r>
      <w:r w:rsidR="00936BCC" w:rsidRPr="00E50D19">
        <w:rPr>
          <w:rFonts w:ascii="Times New Roman" w:hAnsi="Times New Roman" w:cs="Times New Roman"/>
          <w:bCs/>
          <w:sz w:val="28"/>
          <w:szCs w:val="28"/>
        </w:rPr>
        <w:t>epieciešams izvērtēt projekta 25. punktā paredzēto grozījumu 45. punktā nepieciešamību un atbilstību Komisijas regulas Nr. 651/2014  un Komisijas regulas Nr.1407/2013 nosacījumiem.</w:t>
      </w:r>
      <w:r w:rsidRPr="00E50D19">
        <w:rPr>
          <w:rFonts w:ascii="Times New Roman" w:hAnsi="Times New Roman" w:cs="Times New Roman"/>
          <w:bCs/>
          <w:sz w:val="28"/>
          <w:szCs w:val="28"/>
        </w:rPr>
        <w:t xml:space="preserve"> </w:t>
      </w:r>
      <w:r w:rsidR="00936BCC" w:rsidRPr="00E50D19">
        <w:rPr>
          <w:rFonts w:ascii="Times New Roman" w:hAnsi="Times New Roman" w:cs="Times New Roman"/>
          <w:bCs/>
          <w:sz w:val="28"/>
          <w:szCs w:val="28"/>
        </w:rPr>
        <w:t>Vēršam uzmanību, ka uzraudzību atbilstoši Komisijas regulas Nr. 651/2014 12. pantam un Komisijas regulas Nr.1407/2013 6. panta 4. punktam veic Komisija, nevis sabiedrība Altum. Turklāt minētie regulu panti ir tieši piemērojami un nosaka pienākumus dalībvalstij, tāpēc projekta 25. punkts šķietami nav nepieciešams un būtu svītrojams.</w:t>
      </w:r>
    </w:p>
    <w:p w14:paraId="7E2B9BF3" w14:textId="77777777" w:rsidR="00677E8B" w:rsidRPr="00E50D19" w:rsidRDefault="00677E8B" w:rsidP="00677E8B">
      <w:pPr>
        <w:widowControl/>
        <w:tabs>
          <w:tab w:val="left" w:pos="1134"/>
        </w:tabs>
        <w:ind w:right="-7"/>
        <w:contextualSpacing/>
        <w:rPr>
          <w:sz w:val="28"/>
          <w:szCs w:val="28"/>
          <w:lang w:eastAsia="lv-LV"/>
        </w:rPr>
      </w:pPr>
    </w:p>
    <w:p w14:paraId="6A0ABB80" w14:textId="77777777" w:rsidR="00677E8B" w:rsidRPr="00E50D19" w:rsidRDefault="00677E8B" w:rsidP="00677E8B">
      <w:pPr>
        <w:widowControl/>
        <w:tabs>
          <w:tab w:val="left" w:pos="1134"/>
        </w:tabs>
        <w:ind w:right="-7"/>
        <w:contextualSpacing/>
        <w:rPr>
          <w:sz w:val="28"/>
          <w:szCs w:val="28"/>
          <w:lang w:eastAsia="lv-LV"/>
        </w:rPr>
      </w:pPr>
    </w:p>
    <w:p w14:paraId="38C81204" w14:textId="77777777" w:rsidR="00677E8B" w:rsidRPr="00E50D19" w:rsidRDefault="00677E8B" w:rsidP="00677E8B">
      <w:pPr>
        <w:tabs>
          <w:tab w:val="left" w:pos="993"/>
        </w:tabs>
        <w:ind w:left="284"/>
        <w:contextualSpacing/>
        <w:rPr>
          <w:sz w:val="28"/>
          <w:szCs w:val="28"/>
        </w:rPr>
      </w:pPr>
      <w:r w:rsidRPr="00E50D19">
        <w:rPr>
          <w:sz w:val="28"/>
          <w:szCs w:val="28"/>
        </w:rPr>
        <w:t>Valsts sekretāra vietniece</w:t>
      </w:r>
    </w:p>
    <w:p w14:paraId="6E67E83C" w14:textId="77777777" w:rsidR="00677E8B" w:rsidRPr="00E50D19" w:rsidRDefault="00677E8B" w:rsidP="00677E8B">
      <w:pPr>
        <w:tabs>
          <w:tab w:val="left" w:pos="993"/>
          <w:tab w:val="right" w:pos="9072"/>
        </w:tabs>
        <w:ind w:left="284" w:right="12"/>
        <w:contextualSpacing/>
        <w:rPr>
          <w:sz w:val="28"/>
          <w:szCs w:val="28"/>
        </w:rPr>
      </w:pPr>
      <w:r w:rsidRPr="00E50D19">
        <w:rPr>
          <w:sz w:val="28"/>
          <w:szCs w:val="28"/>
        </w:rPr>
        <w:t>tiesību politikas jautājumos</w:t>
      </w:r>
      <w:r w:rsidRPr="00E50D19">
        <w:rPr>
          <w:sz w:val="28"/>
          <w:szCs w:val="28"/>
        </w:rPr>
        <w:tab/>
        <w:t>L. Medina</w:t>
      </w:r>
    </w:p>
    <w:p w14:paraId="23453C43" w14:textId="2E1EFD2A" w:rsidR="00677E8B" w:rsidRDefault="00677E8B" w:rsidP="00677E8B">
      <w:pPr>
        <w:contextualSpacing/>
        <w:rPr>
          <w:szCs w:val="24"/>
        </w:rPr>
      </w:pPr>
    </w:p>
    <w:p w14:paraId="75E30BC5" w14:textId="77777777" w:rsidR="00936BCC" w:rsidRPr="009A6A24" w:rsidRDefault="00936BCC" w:rsidP="00677E8B">
      <w:pPr>
        <w:contextualSpacing/>
        <w:rPr>
          <w:szCs w:val="24"/>
        </w:rPr>
      </w:pPr>
    </w:p>
    <w:p w14:paraId="3225908F" w14:textId="280D1615" w:rsidR="00677E8B" w:rsidRPr="00936BCC" w:rsidRDefault="00936BCC" w:rsidP="00936BCC">
      <w:pPr>
        <w:rPr>
          <w:sz w:val="20"/>
          <w:szCs w:val="20"/>
        </w:rPr>
      </w:pPr>
      <w:r w:rsidRPr="00936BCC">
        <w:rPr>
          <w:sz w:val="20"/>
          <w:szCs w:val="20"/>
        </w:rPr>
        <w:t>Amanda Mūrniece</w:t>
      </w:r>
    </w:p>
    <w:p w14:paraId="71FAD4D3" w14:textId="1494DE40" w:rsidR="00936BCC" w:rsidRPr="00936BCC" w:rsidRDefault="00936BCC" w:rsidP="00936BCC">
      <w:pPr>
        <w:rPr>
          <w:sz w:val="20"/>
          <w:szCs w:val="20"/>
        </w:rPr>
      </w:pPr>
      <w:r>
        <w:rPr>
          <w:sz w:val="20"/>
          <w:szCs w:val="20"/>
        </w:rPr>
        <w:t>j</w:t>
      </w:r>
      <w:r w:rsidRPr="00936BCC">
        <w:rPr>
          <w:sz w:val="20"/>
          <w:szCs w:val="20"/>
        </w:rPr>
        <w:t>uriste</w:t>
      </w:r>
    </w:p>
    <w:p w14:paraId="5A305F7E" w14:textId="18103FC8" w:rsidR="00936BCC" w:rsidRPr="00936BCC" w:rsidRDefault="00936BCC" w:rsidP="00936BCC">
      <w:pPr>
        <w:rPr>
          <w:sz w:val="20"/>
          <w:szCs w:val="20"/>
        </w:rPr>
      </w:pPr>
      <w:r w:rsidRPr="00936BCC">
        <w:rPr>
          <w:sz w:val="20"/>
          <w:szCs w:val="20"/>
        </w:rPr>
        <w:t xml:space="preserve">67036942, </w:t>
      </w:r>
      <w:hyperlink r:id="rId10" w:history="1">
        <w:r w:rsidRPr="00936BCC">
          <w:rPr>
            <w:rStyle w:val="Hyperlink"/>
            <w:sz w:val="20"/>
            <w:szCs w:val="20"/>
          </w:rPr>
          <w:t>amanda.murniece@tm.gov.lv</w:t>
        </w:r>
      </w:hyperlink>
      <w:r w:rsidRPr="00936BCC">
        <w:rPr>
          <w:sz w:val="20"/>
          <w:szCs w:val="20"/>
        </w:rPr>
        <w:t xml:space="preserve"> </w:t>
      </w:r>
    </w:p>
    <w:p w14:paraId="3701AFED" w14:textId="77777777" w:rsidR="00936BCC" w:rsidRPr="00936BCC" w:rsidRDefault="00936BCC" w:rsidP="00677E8B">
      <w:pPr>
        <w:contextualSpacing/>
        <w:rPr>
          <w:sz w:val="20"/>
          <w:szCs w:val="20"/>
        </w:rPr>
      </w:pPr>
    </w:p>
    <w:p w14:paraId="77E0CE61" w14:textId="065A4D50" w:rsidR="00936BCC" w:rsidRPr="00936BCC" w:rsidRDefault="00192E72" w:rsidP="00192E72">
      <w:pPr>
        <w:tabs>
          <w:tab w:val="left" w:pos="7675"/>
        </w:tabs>
        <w:rPr>
          <w:rFonts w:eastAsia="Times New Roman"/>
          <w:sz w:val="20"/>
          <w:szCs w:val="20"/>
        </w:rPr>
      </w:pPr>
      <w:r w:rsidRPr="00936BCC">
        <w:rPr>
          <w:rFonts w:eastAsia="Times New Roman"/>
          <w:sz w:val="20"/>
          <w:szCs w:val="20"/>
        </w:rPr>
        <w:t>Jānis Bērziņš</w:t>
      </w:r>
    </w:p>
    <w:p w14:paraId="7E4D8C3A" w14:textId="77777777" w:rsidR="00192E72" w:rsidRPr="00936BCC" w:rsidRDefault="00192E72" w:rsidP="00192E72">
      <w:pPr>
        <w:rPr>
          <w:rFonts w:eastAsia="Times New Roman"/>
          <w:sz w:val="20"/>
          <w:szCs w:val="20"/>
        </w:rPr>
      </w:pPr>
      <w:r w:rsidRPr="00936BCC">
        <w:rPr>
          <w:rFonts w:eastAsia="Times New Roman"/>
          <w:sz w:val="20"/>
          <w:szCs w:val="20"/>
        </w:rPr>
        <w:t>jurists</w:t>
      </w:r>
    </w:p>
    <w:p w14:paraId="00098B07" w14:textId="77777777" w:rsidR="00192E72" w:rsidRPr="00936BCC" w:rsidRDefault="00192E72" w:rsidP="00192E72">
      <w:pPr>
        <w:rPr>
          <w:rFonts w:eastAsia="Times New Roman"/>
          <w:sz w:val="20"/>
          <w:szCs w:val="20"/>
        </w:rPr>
      </w:pPr>
      <w:r w:rsidRPr="00936BCC">
        <w:rPr>
          <w:rFonts w:eastAsia="Times New Roman"/>
          <w:sz w:val="20"/>
          <w:szCs w:val="20"/>
        </w:rPr>
        <w:t xml:space="preserve">67036934, </w:t>
      </w:r>
      <w:hyperlink r:id="rId11" w:history="1">
        <w:r w:rsidRPr="00936BCC">
          <w:rPr>
            <w:rStyle w:val="Hyperlink"/>
            <w:rFonts w:eastAsia="Times New Roman"/>
            <w:sz w:val="20"/>
            <w:szCs w:val="20"/>
          </w:rPr>
          <w:t>janis.berzins@tm.gov.lv</w:t>
        </w:r>
      </w:hyperlink>
    </w:p>
    <w:p w14:paraId="36EB8445" w14:textId="021003F5" w:rsidR="00830970" w:rsidRPr="00936BCC" w:rsidRDefault="00830970" w:rsidP="00192E72">
      <w:pPr>
        <w:contextualSpacing/>
        <w:rPr>
          <w:sz w:val="20"/>
          <w:szCs w:val="20"/>
        </w:rPr>
      </w:pPr>
    </w:p>
    <w:sectPr w:rsidR="00830970" w:rsidRPr="00936BCC" w:rsidSect="00A34ACB">
      <w:headerReference w:type="default" r:id="rId12"/>
      <w:footerReference w:type="default" r:id="rId13"/>
      <w:headerReference w:type="first" r:id="rId14"/>
      <w:footerReference w:type="first" r:id="rId15"/>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904AE" w14:textId="77777777" w:rsidR="00EC3533" w:rsidRDefault="00EC3533">
      <w:r>
        <w:separator/>
      </w:r>
    </w:p>
  </w:endnote>
  <w:endnote w:type="continuationSeparator" w:id="0">
    <w:p w14:paraId="78A11438" w14:textId="77777777" w:rsidR="00EC3533" w:rsidRDefault="00EC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3A4F5" w14:textId="4F8DBB43" w:rsidR="00192E72" w:rsidRPr="00192E72" w:rsidRDefault="00192E72" w:rsidP="00192E72">
    <w:pPr>
      <w:pStyle w:val="Footer"/>
      <w:tabs>
        <w:tab w:val="clear" w:pos="4320"/>
        <w:tab w:val="clear" w:pos="8640"/>
        <w:tab w:val="left" w:pos="1510"/>
      </w:tabs>
      <w:jc w:val="left"/>
      <w:rPr>
        <w:sz w:val="20"/>
        <w:szCs w:val="20"/>
      </w:rPr>
    </w:pPr>
    <w:r w:rsidRPr="00192E72">
      <w:rPr>
        <w:sz w:val="20"/>
        <w:szCs w:val="20"/>
      </w:rPr>
      <w:fldChar w:fldCharType="begin"/>
    </w:r>
    <w:r w:rsidRPr="00192E72">
      <w:rPr>
        <w:sz w:val="20"/>
        <w:szCs w:val="20"/>
      </w:rPr>
      <w:instrText xml:space="preserve"> FILENAME \* MERGEFORMAT </w:instrText>
    </w:r>
    <w:r w:rsidRPr="00192E72">
      <w:rPr>
        <w:sz w:val="20"/>
        <w:szCs w:val="20"/>
      </w:rPr>
      <w:fldChar w:fldCharType="separate"/>
    </w:r>
    <w:r w:rsidR="00936BCC">
      <w:rPr>
        <w:noProof/>
        <w:sz w:val="20"/>
        <w:szCs w:val="20"/>
      </w:rPr>
      <w:t>TMAtz_100321_EM_VSS_151</w:t>
    </w:r>
    <w:r w:rsidRPr="00192E72">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3D8C8" w14:textId="1E1FCACC" w:rsidR="000C1C17" w:rsidRPr="00192E72" w:rsidRDefault="00192E72" w:rsidP="00192E72">
    <w:pPr>
      <w:pStyle w:val="Footer"/>
    </w:pPr>
    <w:r>
      <w:rPr>
        <w:sz w:val="20"/>
        <w:szCs w:val="20"/>
      </w:rPr>
      <w:fldChar w:fldCharType="begin"/>
    </w:r>
    <w:r>
      <w:rPr>
        <w:sz w:val="20"/>
        <w:szCs w:val="20"/>
      </w:rPr>
      <w:instrText xml:space="preserve"> FILENAME \* MERGEFORMAT </w:instrText>
    </w:r>
    <w:r>
      <w:rPr>
        <w:sz w:val="20"/>
        <w:szCs w:val="20"/>
      </w:rPr>
      <w:fldChar w:fldCharType="separate"/>
    </w:r>
    <w:r w:rsidR="00936BCC">
      <w:rPr>
        <w:noProof/>
        <w:sz w:val="20"/>
        <w:szCs w:val="20"/>
      </w:rPr>
      <w:t>TMAtz_100321_EM_VSS_151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E1DB7" w14:textId="77777777" w:rsidR="00EC3533" w:rsidRDefault="00EC3533">
      <w:r>
        <w:separator/>
      </w:r>
    </w:p>
  </w:footnote>
  <w:footnote w:type="continuationSeparator" w:id="0">
    <w:p w14:paraId="428F1987" w14:textId="77777777" w:rsidR="00EC3533" w:rsidRDefault="00EC3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2EA261AC"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2689CC77"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388A5" w14:textId="77777777" w:rsidR="00A34ACB" w:rsidRDefault="00A34ACB" w:rsidP="00A34ACB">
    <w:pPr>
      <w:pStyle w:val="Header"/>
    </w:pPr>
  </w:p>
  <w:p w14:paraId="351DE89A"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06B91F0" wp14:editId="49CA7ABB">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11A6F" w14:textId="77777777" w:rsidR="00A34ACB" w:rsidRDefault="00A34ACB" w:rsidP="00A34ACB">
    <w:pPr>
      <w:pStyle w:val="Header"/>
    </w:pPr>
  </w:p>
  <w:p w14:paraId="291000E6" w14:textId="77777777" w:rsidR="00A34ACB" w:rsidRDefault="00A34ACB" w:rsidP="00A34ACB">
    <w:pPr>
      <w:pStyle w:val="Header"/>
    </w:pPr>
  </w:p>
  <w:p w14:paraId="65FF3299" w14:textId="77777777" w:rsidR="00A34ACB" w:rsidRDefault="00A34ACB" w:rsidP="00A34ACB">
    <w:pPr>
      <w:pStyle w:val="Header"/>
    </w:pPr>
  </w:p>
  <w:p w14:paraId="0A44F685" w14:textId="77777777" w:rsidR="00A34ACB" w:rsidRDefault="00A34ACB" w:rsidP="00A34ACB">
    <w:pPr>
      <w:pStyle w:val="Header"/>
    </w:pPr>
  </w:p>
  <w:p w14:paraId="12B2051D" w14:textId="77777777" w:rsidR="00A34ACB" w:rsidRDefault="00A34ACB" w:rsidP="00A34ACB">
    <w:pPr>
      <w:pStyle w:val="Header"/>
    </w:pPr>
  </w:p>
  <w:p w14:paraId="527AF73C" w14:textId="77777777" w:rsidR="00A34ACB" w:rsidRDefault="00A34ACB" w:rsidP="00A34ACB">
    <w:pPr>
      <w:pStyle w:val="Header"/>
    </w:pPr>
  </w:p>
  <w:p w14:paraId="526BA07F" w14:textId="77777777" w:rsidR="00A34ACB" w:rsidRDefault="00A34ACB" w:rsidP="00A34ACB">
    <w:pPr>
      <w:pStyle w:val="Header"/>
    </w:pPr>
  </w:p>
  <w:p w14:paraId="05F910F7" w14:textId="77777777" w:rsidR="00A34ACB" w:rsidRDefault="00A34ACB" w:rsidP="00A34ACB">
    <w:pPr>
      <w:pStyle w:val="Header"/>
    </w:pPr>
  </w:p>
  <w:p w14:paraId="3F0C8BA1"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77D329E7" wp14:editId="7AFB782D">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78F5D"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3EA3BA3A"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7D329E7">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4ED78F5D"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3EA3BA3A"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tm.kanceleja@tm.gov.lv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1C3E60E5" wp14:editId="2017DF2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03EEFB7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F55664B" w14:textId="77777777" w:rsidR="00AB4E8A" w:rsidRPr="00C836FF" w:rsidRDefault="00AB4E8A" w:rsidP="00AB4E8A">
    <w:pPr>
      <w:jc w:val="center"/>
      <w:rPr>
        <w:szCs w:val="24"/>
      </w:rPr>
    </w:pPr>
    <w:r w:rsidRPr="00C836FF">
      <w:rPr>
        <w:szCs w:val="24"/>
      </w:rPr>
      <w:t>Rīgā</w:t>
    </w:r>
  </w:p>
  <w:p w14:paraId="6A423E09"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A389588" w14:textId="77777777" w:rsidTr="00A6153E">
      <w:tc>
        <w:tcPr>
          <w:tcW w:w="1810" w:type="dxa"/>
        </w:tcPr>
        <w:p w14:paraId="0A52C39A" w14:textId="21FC1E1B" w:rsidR="00E11DA3" w:rsidRDefault="00E11DA3" w:rsidP="00E11DA3">
          <w:pPr>
            <w:pStyle w:val="Header"/>
            <w:jc w:val="center"/>
            <w:rPr>
              <w:szCs w:val="24"/>
            </w:rPr>
          </w:pPr>
          <w:r>
            <w:t>16.03.2021</w:t>
          </w:r>
        </w:p>
      </w:tc>
      <w:tc>
        <w:tcPr>
          <w:tcW w:w="420" w:type="dxa"/>
          <w:tcBorders>
            <w:bottom w:val="nil"/>
          </w:tcBorders>
        </w:tcPr>
        <w:p w14:paraId="2426A6BD" w14:textId="77777777" w:rsidR="00E11DA3" w:rsidRDefault="00E11DA3" w:rsidP="00E11DA3">
          <w:pPr>
            <w:pStyle w:val="Header"/>
            <w:rPr>
              <w:szCs w:val="24"/>
            </w:rPr>
          </w:pPr>
          <w:r>
            <w:rPr>
              <w:szCs w:val="24"/>
            </w:rPr>
            <w:t xml:space="preserve"> Nr.</w:t>
          </w:r>
        </w:p>
      </w:tc>
      <w:tc>
        <w:tcPr>
          <w:tcW w:w="1890" w:type="dxa"/>
        </w:tcPr>
        <w:p w14:paraId="79D7788C" w14:textId="601BC940" w:rsidR="00E11DA3" w:rsidRDefault="00E11DA3" w:rsidP="00E11DA3">
          <w:pPr>
            <w:pStyle w:val="Header"/>
            <w:jc w:val="center"/>
            <w:rPr>
              <w:szCs w:val="24"/>
            </w:rPr>
          </w:pPr>
          <w:r>
            <w:t>1-9.1/259</w:t>
          </w:r>
        </w:p>
      </w:tc>
    </w:tr>
  </w:tbl>
  <w:p w14:paraId="47CD7A37"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E840D0A"/>
    <w:multiLevelType w:val="hybridMultilevel"/>
    <w:tmpl w:val="22B830F2"/>
    <w:lvl w:ilvl="0" w:tplc="16344E88">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33D3B"/>
    <w:rsid w:val="00091ABD"/>
    <w:rsid w:val="000C1C17"/>
    <w:rsid w:val="000C389C"/>
    <w:rsid w:val="000E0C2F"/>
    <w:rsid w:val="000E7F03"/>
    <w:rsid w:val="00124173"/>
    <w:rsid w:val="00192E72"/>
    <w:rsid w:val="00275B9E"/>
    <w:rsid w:val="002B3077"/>
    <w:rsid w:val="002E1474"/>
    <w:rsid w:val="00321A32"/>
    <w:rsid w:val="00335032"/>
    <w:rsid w:val="00441F52"/>
    <w:rsid w:val="00493308"/>
    <w:rsid w:val="00535564"/>
    <w:rsid w:val="005937AF"/>
    <w:rsid w:val="005C2E02"/>
    <w:rsid w:val="005E672B"/>
    <w:rsid w:val="00620057"/>
    <w:rsid w:val="00663C3A"/>
    <w:rsid w:val="00677E8B"/>
    <w:rsid w:val="006C1639"/>
    <w:rsid w:val="006C6018"/>
    <w:rsid w:val="006D15B2"/>
    <w:rsid w:val="00724680"/>
    <w:rsid w:val="00726E06"/>
    <w:rsid w:val="00747CCB"/>
    <w:rsid w:val="007704BD"/>
    <w:rsid w:val="007B3740"/>
    <w:rsid w:val="007B3BA5"/>
    <w:rsid w:val="007B48EC"/>
    <w:rsid w:val="007E0D0E"/>
    <w:rsid w:val="007E4D1F"/>
    <w:rsid w:val="00815277"/>
    <w:rsid w:val="00816499"/>
    <w:rsid w:val="00830970"/>
    <w:rsid w:val="0087450D"/>
    <w:rsid w:val="00876C21"/>
    <w:rsid w:val="00883533"/>
    <w:rsid w:val="008A679D"/>
    <w:rsid w:val="008E3CED"/>
    <w:rsid w:val="00936BCC"/>
    <w:rsid w:val="00954D5A"/>
    <w:rsid w:val="00960FFC"/>
    <w:rsid w:val="0096342D"/>
    <w:rsid w:val="00981F58"/>
    <w:rsid w:val="009A6A24"/>
    <w:rsid w:val="009D6B6A"/>
    <w:rsid w:val="00A34ACB"/>
    <w:rsid w:val="00A76213"/>
    <w:rsid w:val="00AB4E8A"/>
    <w:rsid w:val="00AC270F"/>
    <w:rsid w:val="00AF10A5"/>
    <w:rsid w:val="00BB087F"/>
    <w:rsid w:val="00C04896"/>
    <w:rsid w:val="00C255D9"/>
    <w:rsid w:val="00C47F57"/>
    <w:rsid w:val="00C836FF"/>
    <w:rsid w:val="00CF0967"/>
    <w:rsid w:val="00D21FA6"/>
    <w:rsid w:val="00D55B4B"/>
    <w:rsid w:val="00E11DA3"/>
    <w:rsid w:val="00E365CE"/>
    <w:rsid w:val="00E40434"/>
    <w:rsid w:val="00E44743"/>
    <w:rsid w:val="00E50D19"/>
    <w:rsid w:val="00EC3533"/>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CAC184"/>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936BCC"/>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77E8B"/>
    <w:pPr>
      <w:widowControl/>
      <w:spacing w:before="75" w:after="75"/>
      <w:jc w:val="left"/>
    </w:pPr>
    <w:rPr>
      <w:rFonts w:eastAsia="Times New Roman"/>
      <w:szCs w:val="24"/>
      <w:lang w:eastAsia="lv-LV"/>
    </w:rPr>
  </w:style>
  <w:style w:type="paragraph" w:styleId="ListParagraph">
    <w:name w:val="List Paragraph"/>
    <w:aliases w:val="TGS Paragraph"/>
    <w:basedOn w:val="Normal"/>
    <w:link w:val="ListParagraphChar"/>
    <w:uiPriority w:val="34"/>
    <w:qFormat/>
    <w:rsid w:val="00936BCC"/>
    <w:pPr>
      <w:widowControl/>
      <w:spacing w:after="160" w:line="259" w:lineRule="auto"/>
      <w:ind w:left="720"/>
      <w:contextualSpacing/>
      <w:jc w:val="left"/>
    </w:pPr>
    <w:rPr>
      <w:rFonts w:asciiTheme="minorHAnsi" w:eastAsiaTheme="minorHAnsi" w:hAnsiTheme="minorHAnsi" w:cstheme="minorBidi"/>
      <w:sz w:val="22"/>
    </w:rPr>
  </w:style>
  <w:style w:type="character" w:customStyle="1" w:styleId="ListParagraphChar">
    <w:name w:val="List Paragraph Char"/>
    <w:aliases w:val="TGS Paragraph Char"/>
    <w:link w:val="ListParagraph"/>
    <w:uiPriority w:val="34"/>
    <w:rsid w:val="00936BCC"/>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936BCC"/>
    <w:rPr>
      <w:rFonts w:ascii="Times New Roman" w:eastAsia="Times New Roman" w:hAnsi="Times New Roman"/>
      <w:b/>
      <w:bCs/>
      <w:sz w:val="27"/>
      <w:szCs w:val="27"/>
    </w:rPr>
  </w:style>
  <w:style w:type="character" w:styleId="UnresolvedMention">
    <w:name w:val="Unresolved Mention"/>
    <w:basedOn w:val="DefaultParagraphFont"/>
    <w:uiPriority w:val="99"/>
    <w:semiHidden/>
    <w:unhideWhenUsed/>
    <w:rsid w:val="00936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994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4/651/oj/?locale=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is.berzins@t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manda.murniece@tm.gov.lv" TargetMode="Externa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F2ABB-3BE4-48FE-B00D-20E325F1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1801</Words>
  <Characters>1028</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Kristīne Priedīte</cp:lastModifiedBy>
  <cp:revision>2</cp:revision>
  <cp:lastPrinted>2015-01-09T08:13:00Z</cp:lastPrinted>
  <dcterms:created xsi:type="dcterms:W3CDTF">2021-03-17T06:45:00Z</dcterms:created>
  <dcterms:modified xsi:type="dcterms:W3CDTF">2021-03-17T06:45:00Z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