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26-TA-276: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2011. gada 28. jūnija noteikumos Nr. 500 "Noteikumi par transportējamām spiedieniekārtām"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(01.11.2021.)</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16.04.2026. 18:14</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2011. gada 28. jūnija noteikumos Nr. 500 "Noteikumi par transportējamām spiedieniekārtām" (Latvijas Vēstnesis, 2011, 101., 155. nr.; 2012, 194. nr.; 2013, 250. nr.; 2014, 252. nr.; 2015, 64. nr.; 2017, 237. nr.; 2021, 106. nr.)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- 22.04.2026.)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projektā konsekventi atsaukties uz "Eiropas Savienības </w:t>
            </w:r>
            <w:r w:rsidR="00000000" w:rsidRPr="00000000" w:rsidDel="00000000">
              <w:rPr>
                <w:u w:val="single"/>
                <w:rtl w:val="0"/>
              </w:rPr>
              <w:t xml:space="preserve">tieši piemērojamiem</w:t>
            </w:r>
            <w:r w:rsidR="00000000" w:rsidRPr="00000000" w:rsidDel="00000000">
              <w:rPr>
                <w:rtl w:val="0"/>
              </w:rPr>
              <w:t xml:space="preserve"> tiesību aktiem" anotācijā atspoguļojot to izpratni, jo norāde "Eiropas Komisijas īstenošanas aktos norādītie standarti vai kopējās specifikācijas" nenodrošina izpratni, kādi Eiropas Komisijas īstenošanas akti ar to saprotami, turklāt ar īstenošanas aktiem var tikt saprastas arī direktīvas un dalībvalstīm adresēti lēmumi, kas privātpersonām kļūst saistoši tikai pēc to pārņemšanas Latvijas tiesību aktos.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Saprotams, ka Eiropas Komisijas īstenošanas akti var tikt pieņemti dažādās juridiskajās formās. Vienlaikus, lai nodrošinātu direktīvā paredzētā mehānisma korektu pārņemšanu, noteikumu projektā ir noteikts regulējums, paredzot, ka attiecīgās tiesiskās sekas iestājas, ja Eiropas Komisija saskaņā ar Eiropas Savienības tiesību aktiem ar īstenošanas aktu nosaka konkrētas preces kā krīzē būtiskas. Tādējādi tiek nodrošināta atbilstība gan direktīvas prasībām, gan juridiskās tehnikas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Izdarīt Ministru kabineta 2011. gada 28. jūnija noteikumos Nr. 500 "Noteikumi par transportējamām spiedieniekārtām" (Latvijas Vēstnesis, 2011, 101., 155. nr.; 2012, 194. nr.; 2013, 250. nr.; 2014, 252. nr.; 2015, 64. nr.; 2017, 237. nr.; 2021, 106. nr.) šādus grozījumus: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- 22.04.2026.)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projekta 1.4. apakšpunktu vai izvērst skaidrojumus projekta anotācijā, nodrošinot pienācīgu Eiropas Parlamenta un Padomes 2024. gada 9. oktobra Direktīvas (ES) 2024/2749, ar ko groza Direktīvas 2000/14/EK, 2006/42/EK, 2010/35/ES, 2014/29/ES, 2014/30/ES, 2014/33/ES, 2014/34/ES, 2014/35/ES, 2014/53/ES un 2014/68/ES attiecībā uz iekšējā tirgus ārkārtas situācijas izraisītām atbilstības novērtēšanas, atbilstības prezumpcijas, kopēju specifikāciju pieņemšanas un tirgus uzraudzības ārkārtas procedūrām (turpmāk - Direktīva 2024/2749) 3. panta 2. punkta pārņemšanu. Vēršam uzmanību,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atbilstoši Direktīvas 2024/2749 3. panta 2. punktam (Eiropas Parlamenta un Padomes 2010. gada 16. jūnija Direktīvas 2010/35/ES par pārvietojamām spiediena iekārtām un par Padomes Direktīvu 76/767/EEK, 84/525/EEK, 84/526/EEK, 84/527/EEK un 1999/36/EK atcelšanu (turpmāk - Direktīva 2010/35) 33.d pants 5. punkts) spiediena iekārtu ražotāji un importētāji apliecina arī to, ka </w:t>
            </w:r>
            <w:r w:rsidR="00000000" w:rsidRPr="00000000" w:rsidDel="00000000">
              <w:rPr>
                <w:i w:val="1"/>
                <w:rtl w:val="0"/>
              </w:rPr>
              <w:t xml:space="preserve">"ir atbildīgi par visu kompetentās valsts iestādes norādīto atbilstības novērtēšanas procedūru izpildi</w:t>
            </w:r>
            <w:r w:rsidR="00000000" w:rsidRPr="00000000" w:rsidDel="00000000">
              <w:rPr>
                <w:rtl w:val="0"/>
              </w:rPr>
              <w:t xml:space="preserve">", kas no projekta neizriet;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atbilstoši Direktīvas 2024/2749 3. panta 2. punktam (Direktīvas 2010/35 33.c pants 7. punkts) pārvietojamajām spiediena iekārtām ne tikai nav “Pi” zīmes, bet attiecībā uz tām netiek piemērots Direktīvas 2010/35 16. pants, kas pārņemts ar likuma "Par atbilstības novērtēšanu" 16. un 17. pantu.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Direktīvas 2024/2749 3. panta 2. punktā (33.d pants 5. punkts) ietvertais pienākums, ka ražotājs ir atbildīgs par visu kompetentās valsts iestādes norādīto atbilstības novērtēšanas procedūru izpildi, pēc būtības ir saistīts ar kompetentās iestādes izsniegtās ārkārtas atļaujas nosacījumu ievērošanu. Noteikumu projektā jau paredzētas tirgus uzraudzības iestādes tiesības atļaujā noteikt konkrētas procedūras un prasības, kā arī ekonomikas dalībnieka pienākums iesniegt dokumentāciju un ievērot atļaujas nosacījumus. Līdz ar to minētais pienākums no sistēmiskā viedokļa jau izriet no projektā paredzētā regulējuma kopumā.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nav nepieciešams papildināt noteikumu projekta 100.</w:t>
            </w:r>
            <w:r w:rsidR="00000000" w:rsidRPr="00000000" w:rsidDel="00000000">
              <w:rPr>
                <w:vertAlign w:val="superscript"/>
                <w:rtl w:val="0"/>
              </w:rPr>
              <w:t xml:space="preserve">10</w:t>
            </w:r>
            <w:r w:rsidR="00000000" w:rsidRPr="00000000" w:rsidDel="00000000">
              <w:rPr>
                <w:rtl w:val="0"/>
              </w:rPr>
              <w:t xml:space="preserve"> punktu ar norādi "un 16. pants netiek piemērots". Direktīvas 2010/35/ES 16.pants paredz nosacījumus par brīvu apriti, ko nav nepieciešams speciāli izdalīt, jo no 100.</w:t>
            </w:r>
            <w:r w:rsidR="00000000" w:rsidRPr="00000000" w:rsidDel="00000000">
              <w:rPr>
                <w:vertAlign w:val="superscript"/>
                <w:rtl w:val="0"/>
              </w:rPr>
              <w:t xml:space="preserve">4</w:t>
            </w:r>
            <w:r w:rsidR="00000000" w:rsidRPr="00000000" w:rsidDel="00000000">
              <w:rPr>
                <w:rtl w:val="0"/>
              </w:rPr>
              <w:t xml:space="preserve"> punkta izriet, ka tirgus uzraudzības iestāde pēc pamatota iesaistītās personas pieprasījuma var izsniegt atļauju tikai konkrētās dalībvalsts teritorijā, attiecīgi princips par preču brīvu apriti šajā situācijā netiek piemērots. Turklāt, minētā norāde, ka pārņemts likuma "Par atbilstības novērtēšanu" 16. un 17. pantu, varētu nebūt īsti korekta.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(VK - 21.04.2026.)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projekts paredz regulējumu, kas piemērojams īpašos apstākļos – iekšējā tirgus ārkārtas situācijas režīma aktivizācijas gadījumā, un šādu situāciju iestāšanās biežumu un ilgumu nav iespējams iepriekš precīzi prognozēt, lūdzam izvērtēt iespēju veikt administratīvo izmaksu novērtējumu vismaz vienam gadījumam.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Vadlīnijās tiesību akta sākotnējās ietekmes novērtēšanai noteikto, gadījumos, kad objektīvu iemeslu dēļ nav iespējams noteikt informācijas sniegšanas pienākuma biežumu vai subjektu skaitu, ir pieļaujams aprēķinu veikt vienam subjektam un vienai darbības reizei, attiecīgi nodrošinot vismaz indikatīvu administratīvo izmaksu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projektā paredzētas atsevišķas darbības (piemēram, iesaistītās personas pieprasījuma sagatavošana atļaujas saņemšanai, tirgus uzraudzības iestādes informācijas sniegšana Eiropas Komisijai un dalībvalstīm, kā arī papildu marķējuma norādīšana uz transportējamās spiedieniekārtas), lūdzam: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izvērtēt, vai šīs darbības nav uzskatāmas par informācijas sniegšanas pienākumiem vai atbilstības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un, ja attiecināms, veikt administratīvo izmaksu aprēķinu vismaz vienam gadījumam (vienam subjektam un vienai darbības reizei).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anotācijas 2.1. apakšpunktā sniegtais ietekmes apraksts.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- 22.04.2026.)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nepieciešamības gadījumā precizēt anotācijas 5.4. apakšsadaļu, nodrošinot korektu, pilnīgu un precīzu no Eiropas Savienības tiesību aktiem izrietošo saistību pārņemšanas atspoguļojumu, ņemot vērā,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atbilstoši projekta redakcijai tiek pārņemts viss Direktīvas 2024/2749 3. panta 2. apakšpunkts (Direktīvas 2010/35 33.c pants), bet projekta 1.5. apakšpunkts un 2.punkts pārņem arī Direktīvas 2024/2749 11. panta 2.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ar Direktīvu 2024/2749 tiek grozīta Direktīva 2010/35, tāpēc lūdzam precīzi atsaukties uz Eiropas Savienības tiesību normām, proti, iekavās norādīt korespondējošo tiesību normu, piemēram, šādi: 3. panta 2. apakšpunkts (Direktīvas 2010/35 33.b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norādīts uz Direktīvas 2024/2749 3. panta 2. punkta (Direktīvas 2010/35 33.c panta 2.–4. punkts) pārņemšanu, lai gan 3. punkts attiecināms uz Komisiju;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nepieciešams skaidrot, kā tiks nodrošināta Direktīvas 2024/2749 prasību pārņemšana pilnībā, jo projekts pārņem tikai tās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atbilstoši skaidrojumam izziņas 3. punktā, saprotams, ka ne tikai projekta 1.4. apakšpunkta (Ministru kabineta 2011. gada 28. jūnija noteikumu Nr. 500 "Noteikumi par transportējamām spiedieniekārtām" 100.</w:t>
            </w:r>
            <w:r w:rsidR="00000000" w:rsidRPr="00000000" w:rsidDel="00000000">
              <w:rPr>
                <w:vertAlign w:val="superscript"/>
                <w:rtl w:val="0"/>
              </w:rPr>
              <w:t xml:space="preserve">7</w:t>
            </w:r>
            <w:r w:rsidR="00000000" w:rsidRPr="00000000" w:rsidDel="00000000">
              <w:rPr>
                <w:rtl w:val="0"/>
              </w:rPr>
              <w:t xml:space="preserve"> punkts) pārņem Direktīvas 2024/2749 3. panta 2. punktu (Direktīva 2010/35 33.c panta 2.-4. punkts), bet arī cits tiesību akts, no kura izriet kas saprotams ar norādāmo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izvērtēts un precizēta noteikumu projekta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13.03.2026. 17:21</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- 30.03.2026.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projektā atsauces uz Eiropas Komisijas īstenošanas aktiem aizstāt ar atsaucēm uz konkrētām regulām vai tieši piemērojamiem Eiropas Savienības normatīvajiem aktiem, ievērojot, ka īstenošanas akti var būt arī direktīvas un dalībvalstīm adresēti lēmumi.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Saprotams, ka Eiropas Komisijas īstenošanas akti var tikt pieņemti dažādās juridiskajās formās. Vienlaikus, lai nodrošinātu direktīvā paredzētā mehānisma korektu pārņemšanu, noteikumu projektā ir noteikts regulējums, paredzot, ka attiecīgās tiesiskās sekas iestājas, ja Eiropas Komisija saskaņā ar Eiropas Savienības tiesību aktiem ar īstenošanas aktu nosaka konkrētas preces kā krīzē būtiskas. Tādējādi tiek nodrošināta atbilstība gan direktīvas prasībām, gan juridiskās tehnikas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w:t>
            </w:r>
            <w:r w:rsidR="00000000" w:rsidRPr="00000000" w:rsidDel="00000000">
              <w:rPr>
                <w:vertAlign w:val="superscript"/>
                <w:rtl w:val="0"/>
              </w:rPr>
              <w:t xml:space="preserve">1</w:t>
            </w:r>
            <w:r w:rsidR="00000000" w:rsidRPr="00000000" w:rsidDel="00000000">
              <w:rPr>
                <w:rtl w:val="0"/>
              </w:rPr>
              <w:t xml:space="preserve"> Paziņotā institūcija prioritārā kārtā izskata pieteikumus par tādu transportējamo spiedieniekārtu atbilstības novērtēšanu, kas atzītas par krīzē būtisku preci.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- 30.03.2026.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projektu, ņemot vērā, ka atbilstoši juridiskās tehnikas prasībām tiesību normai ir jābūt skaidrai un nepārprotamai, lai tās lietotājs un piemērotājs precīzi izprastu normu būtību. Vēršam uzmanību, ka tādi Eiropas Parlamenta un Padomes 2024. gada 9. oktobra Direktīvā (ES) 2024/2749, ar ko groza Direktīvas 2000/14/EK, 2006/42/EK, 2010/35/ES, 2014/29/ES, 2014/30/ES, 2014/33/ES, 2014/34/ES, 2014/35/ES, 2014/53/ES un 2014/68/ES attiecībā uz iekšējā tirgus ārkārtas situācijas izraisītām atbilstības novērtēšanas, atbilstības prezumpcijas, kopēju specifikāciju pieņemšanas un tirgus uzraudzības ārkārtas procedūrām (turpmāk - Direktīva 2024/2749) izmantoti formulējumi kā "nesamērīgas papildus izmaksas" vai "cenšas palielināt savas testēšanas iespējas" nenodrošina tiesību normu adresātiem tiešu un konkrētu projekta izpratni, tādēļ būtu pārformulējami projektā. Alternatīvi iesakām sniegt izvērstus skaidrojumus anotācijā, tajā skaitā norādot arī, kādus gadījumus aptvers projektā minētais “krīzes gadījums”.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izvērtēts un attiecīgi precizēta noteikumu projekta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w:t>
            </w:r>
            <w:r w:rsidR="00000000" w:rsidRPr="00000000" w:rsidDel="00000000">
              <w:rPr>
                <w:vertAlign w:val="superscript"/>
                <w:rtl w:val="0"/>
              </w:rPr>
              <w:t xml:space="preserve">1</w:t>
            </w:r>
            <w:r w:rsidR="00000000" w:rsidRPr="00000000" w:rsidDel="00000000">
              <w:rPr>
                <w:rtl w:val="0"/>
              </w:rPr>
              <w:t xml:space="preserve"> Paziņotā institūcija prioritārā kārtā izskata pieteikumus par tādu transportējamo spiedieniekārtu atbilstības novērtēšanu, kas atzītas par krīzē būtisku preci.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2</w:t>
            </w:r>
            <w:r w:rsidR="00000000" w:rsidRPr="00000000" w:rsidDel="00000000">
              <w:rPr>
                <w:rtl w:val="0"/>
              </w:rPr>
              <w:t xml:space="preserve"> Krīzē būtiskajām precēm pieļaujamā atkāpe attiecībā uz atbilstības novērtēšanas procedūrām, kurās ir iesaistīta paziņotā institūcija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- 30.03.2026.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projekta un precizēt projekta 1.4. apakšpunktu un izvērst skaidrojumus anotācijā, nodrošinot pienācīgu Direktīvas 2024/2749 3. panta 2. punkta pārņemšanu. Vēršam uzmanību,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projekta 1.4. apakšpunktā (grozīto noteikumu (turpmāk - Noteikumi) 100.</w:t>
            </w:r>
            <w:r w:rsidR="00000000" w:rsidRPr="00000000" w:rsidDel="00000000">
              <w:rPr>
                <w:vertAlign w:val="superscript"/>
                <w:rtl w:val="0"/>
              </w:rPr>
              <w:t xml:space="preserve">7 </w:t>
            </w:r>
            <w:r w:rsidR="00000000" w:rsidRPr="00000000" w:rsidDel="00000000">
              <w:rPr>
                <w:rtl w:val="0"/>
              </w:rPr>
              <w:t xml:space="preserve">punkts) noteikts, ka norādītā informācija ir valsts valodā utt., bet ne to, kas saprotams ar norādāmo informāciju, tādēļ aicinām to norādīt;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norādot uz pilnīgu Eiropas Savienības tiesību normas pārņemšanu, tas tā arī jānodrošina un nepieciešamības gadījumā jāsniedz papildu skaidrojumi pilnīgai izpratnei.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atbilstoši Direktīvas 2024/2749 3. panta 2. punktam (Eiropas Parlamenta un Padomes 2010. gada 16. jūnija Direktīvas 2010/35/ES par pārvietojamām spiediena iekārtām un par Padomes Direktīvu 76/767/EEK, 84/525/EEK, 84/526/EEK, 84/527/EEK un 1999/36/EK atcelšanu (turpmāk - Direktīva 2010/35) 33.c panta 2. punkta 2. daļa) ne tikai informācijai, bet arī marķējumam jābūt skaidram, saprotamam un viegli uztveramam;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atbilstoši Direktīvas 2024/2749 3. panta 2. punktam (Direktīvas 2010/35 33.d pants 5. punkts) spiediena iekārtu ražotāji un importētāji apliecina arī to, ka </w:t>
            </w:r>
            <w:r w:rsidR="00000000" w:rsidRPr="00000000" w:rsidDel="00000000">
              <w:rPr>
                <w:i w:val="1"/>
                <w:rtl w:val="0"/>
              </w:rPr>
              <w:t xml:space="preserve">"ir atbildīgi par visu kompetentās valsts iestādes norādīto atbilstības novērtēšanas procedūru izpildi.</w:t>
            </w:r>
            <w:r w:rsidR="00000000" w:rsidRPr="00000000" w:rsidDel="00000000">
              <w:rPr>
                <w:rtl w:val="0"/>
              </w:rPr>
              <w:t xml:space="preserve">", kas no projekta neizriet. Vienlaikus nepieciešams precīzāk norādīt vai skaidrot anotācijā, kā spiediena iekārtu ražotāji un importētāji apliecina projekta 1.4. apakšpunktā (Noteikumu 100.</w:t>
            </w:r>
            <w:r w:rsidR="00000000" w:rsidRPr="00000000" w:rsidDel="00000000">
              <w:rPr>
                <w:vertAlign w:val="superscript"/>
                <w:rtl w:val="0"/>
              </w:rPr>
              <w:t xml:space="preserve">8</w:t>
            </w:r>
            <w:r w:rsidR="00000000" w:rsidRPr="00000000" w:rsidDel="00000000">
              <w:rPr>
                <w:rtl w:val="0"/>
              </w:rPr>
              <w:t xml:space="preserve"> punkts) noteikto;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atbilstoši Direktīvas 2024/2749 3. panta 2. punktam (Direktīvas 2010/35 33.c pants 8. punkts) tirgus uzraudzības iestādei ir tiesības veikt korektīvās un ierobežojošās darbības,</w:t>
            </w:r>
            <w:r w:rsidR="00000000" w:rsidRPr="00000000" w:rsidDel="00000000">
              <w:rPr>
                <w:u w:val="single"/>
                <w:rtl w:val="0"/>
              </w:rPr>
              <w:t xml:space="preserve"> ja tirgus uzraudzības iestādes izdotā atļauja ir derīga</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atbilstoši Direktīvas 2024/2749 3. panta 2. punktam (Direktīvas 2010/35 33.c pants 7. punkts) pārvietojamajām spiediena iekārtām ne tikai nav “Pi” zīmes, bet attiecībā uz tām netiek piemērots Direktīvas 2010/35 16. pants, kas atbilstoši Noteikumu anotācijai pārņemts ar likuma "Par atbilstības novērtēšanu" 16. un 17. 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 Direktīvas 2024/2749 3. panta 2. punkts (Direktīvas 2010/35 33.c pants 1. punkts) norādīts uz pārvietojamām spiediena iekārtām, "kuras uzskaitītas 33.a panta 1. punktā minētajā īstenošanas aktā un attiecībā uz kurām nav veiktas 12. pantā minētās atbilstības novērtēšanas procedūras", savukārt no projekta attiecīga norma, t.i., sasaiste ar attiecīgo regulu, nav atrodama.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projekts un kur nepieciešams precizēta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100.</w:t>
            </w:r>
            <w:r w:rsidR="00000000" w:rsidRPr="00000000" w:rsidDel="00000000">
              <w:rPr>
                <w:vertAlign w:val="superscript"/>
                <w:rtl w:val="0"/>
              </w:rPr>
              <w:t xml:space="preserve">7</w:t>
            </w:r>
            <w:r w:rsidR="00000000" w:rsidRPr="00000000" w:rsidDel="00000000">
              <w:rPr>
                <w:rtl w:val="0"/>
              </w:rPr>
              <w:t xml:space="preserve"> punkta prasība ir atkārtoti izvērtēta, tomēr secināts, ka nepieciešams saglabāt noteikumu projekta punkta redakciju, turklāt jau šāda prasība ir noteikta saistošajos normatīvajos aktos par ārkārtas krīzes mehānisma ieviešanu.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darbība "deklarē" rezultējas ar attiecīgi sagatavotu tehnisko dokumentāciju par attiecīgo mašīnu atbilstību visām piemērojamajām prasībām. Tehniskā dokumentācija nodrošina iespēju novērtēt mašīnu atbilstību šo noteikumu piemērojamām prasībām, un tā ietver atbilstošu risku analīzi un novērtējumu. Tehniskajā dokumentācijā norāda piemērojamās prasības, un, ciktāl tas nepieciešams novērtēšanai, tā aptver mašīnu projektēšanu, ražošanu un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tehniskā dokumentācija tiek izmantota, lai apliecinātu, ka attiecīgie mašīnu sastāvdaļas atbilst šo noteikumu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noteikumu kontekstā Tirgus uzraudzības iestādes piešķirtā atļauja ir derīga tikai Latvijas teritorijā, tāpēc nav specifiski jānorāda tas noteikumos, savukārt direktīva prasība attiecas uz visām ES dalībvalstīm, tāpēc šajā prasībā minēts par "Tirgus uzraudzības iestādes dalībvalstī, kurā atļauja ir derīga".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2</w:t>
            </w:r>
            <w:r w:rsidR="00000000" w:rsidRPr="00000000" w:rsidDel="00000000">
              <w:rPr>
                <w:rtl w:val="0"/>
              </w:rPr>
              <w:t xml:space="preserve"> Krīzē būtiskajām precēm pieļaujamā atkāpe attiecībā uz atbilstības novērtēšanas procedūrām, kurās ir iesaistīta paziņotā institūcija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w:t>
            </w:r>
            <w:r w:rsidR="00000000" w:rsidRPr="00000000" w:rsidDel="00000000">
              <w:rPr>
                <w:vertAlign w:val="superscript"/>
                <w:rtl w:val="0"/>
              </w:rPr>
              <w:t xml:space="preserve">4</w:t>
            </w:r>
            <w:r w:rsidR="00000000" w:rsidRPr="00000000" w:rsidDel="00000000">
              <w:rPr>
                <w:rtl w:val="0"/>
              </w:rPr>
              <w:t xml:space="preserve"> Tirgus uzraudzības iestāde pēc pamatota iesaistītās personas pieprasījuma var izsniegt atļauju, ar kuru tirgū var laist tādas transportējamās spiedieniekārtas, kurām nav veiktas šo noteikumu 4. nodaļā minētās atbilstības novērtēšanas procedūras, ja ir apliecināta atbilstība šo noteikumu 2. nodaļā minētajām būtiskajām drošuma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- 30.03.2026.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ir korekti atsaukties uz šo noteikumu 2. nodaļā minētajām būtiskajām drošuma prasībām, ja tajā noteikti "Uzņēmēju pienākumi", bet atsevišķas nodaļas būtiskām drošuma prasībām šajos noteikumos nemaz nav. Nepieciešamības gadījumā lūdzam atbilstoši precizēt projektu un tā skaidrojumus.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precizēts noteikumu projekts.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w:t>
            </w:r>
            <w:r w:rsidR="00000000" w:rsidRPr="00000000" w:rsidDel="00000000">
              <w:rPr>
                <w:vertAlign w:val="superscript"/>
                <w:rtl w:val="0"/>
              </w:rPr>
              <w:t xml:space="preserve">4</w:t>
            </w:r>
            <w:r w:rsidR="00000000" w:rsidRPr="00000000" w:rsidDel="00000000">
              <w:rPr>
                <w:rtl w:val="0"/>
              </w:rPr>
              <w:t xml:space="preserve"> Tirgus uzraudzības iestāde pēc pamatota iesaistītās personas pieprasījuma var izsniegt atļauju, ar kuru tirgū var laist tādas transportējamās spiedieniekārtas, kurām nav veiktas ADR nolīgumā vai RID noteikumos minētās atbilstības novērtēšanas procedūras, ja ir apliecināta atbilstība šo noteikumu 4.punktā minētajām prasībām.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- 30.03.2026.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nepieciešamības gadījumā precizēt anotācijas 5.4. apakšsadaļu, nolūkā nodrošināt korektu, pilnīgu un precīzu no Eiropas Savienības tiesību aktiem izrietošo saistību pārņemšanas atspoguļojumu, ņemot vērā,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atbilstoši projekta redakcijai tiek pārņemts viss Direktīvas 2024/2749 3. panta 2. apakšpunkts (Direktīvas 2010/35 33.c pants), bet projekta 1.5. apakšpunkts un 2.punkts pārņem arī Direktīvas 2024/2749 11. panta 2.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Direktīvas 2024/2749 3. panta 2. apakšpunkts (Direktīvas 2010/35 33.b pants) nesatur Komisijai adresētas tiesību normas, kā tas skaidrots "C" kolonnā;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ar Direktīvu 2024/2749 tiek grozīta Direktīva 2010/35, attiecīgi, lūdzam precīzi atsaukties uz Eiropas Savienības tiesību normām, proti, iekavās norādīt korespondējošo tiesību normu, piemēram, šādi: 3. panta 2. apakšpunkts (Direktīvas 2010/35 33.b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anotācijas 5.4. apakšsadaļas 1. tabulas ailē “Cita informācija” neatbilstoši norādīts “Citas 3.panta prasības netiek pārņemtas, jo attiecas uz Komisiju”, piemēram, Direktīvas 2024/2749 3. panta 2. punktā grozītais Direktīvas 2010/35 33.a panta 1.-3.punkts attiecināms uz dalībvalstīm, ne Komisiju, līdzīgi arī Direktīvas 2024/2749 3. panta 2. punktam (Direktīvas 2010/35 33.c pants 8.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nepieciešams skaidrot, kā tiks nodrošināta Direktīvas 2024/2749 3. panta 2. punktā ietvertā Direktīvas 2010/35 33.d panta pārņemšana;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norādīts uz Direktīvas 2024/2749 3. panta 2. punkta (Direktīvas 2010/35 33.c panta 2.–4. punkts) pārņemšanu, lai gan 3. punkts attiecināms uz Komisiju.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Direktīvas 2010/35 33.c pants satur Komisijai adresētas tiesību normas par īstenošanas aktu izdošanu, savukārt 2.-4.punkts ir pārņemts ar noteikumu projekta 1.3.apakšpunktu.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papildināts ar 100.</w:t>
            </w:r>
            <w:r w:rsidR="00000000" w:rsidRPr="00000000" w:rsidDel="00000000">
              <w:rPr>
                <w:vertAlign w:val="superscript"/>
                <w:rtl w:val="0"/>
              </w:rPr>
              <w:t xml:space="preserve">13</w:t>
            </w:r>
            <w:r w:rsidR="00000000" w:rsidRPr="00000000" w:rsidDel="00000000">
              <w:rPr>
                <w:rtl w:val="0"/>
              </w:rPr>
              <w:t xml:space="preserve"> punktu, kas nodrošina Direktīvas 2024/2749 3. panta 2. punktā ietvertā Direktīvas 2010/35 33.d panta pārņemšanu.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w:t>
            </w:r>
            <w:r w:rsidR="00000000" w:rsidRPr="00000000" w:rsidDel="00000000">
              <w:rPr>
                <w:vertAlign w:val="superscript"/>
                <w:rtl w:val="0"/>
              </w:rPr>
              <w:t xml:space="preserve">1</w:t>
            </w:r>
            <w:r w:rsidR="00000000" w:rsidRPr="00000000" w:rsidDel="00000000">
              <w:rPr>
                <w:rtl w:val="0"/>
              </w:rPr>
              <w:t xml:space="preserve"> Paziņotā institūcija prioritārā kārtā izskata pieteikumus par tādu transportējamo spiedieniekārtu atbilstības novērtēšanu, kas atzītas par krīzē būtisku preci.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- 30.03.2026.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aicinām pārskatīt projekta 1.3. apakšpunktu (Noteikumu 100.</w:t>
            </w:r>
            <w:r w:rsidR="00000000" w:rsidRPr="00000000" w:rsidDel="00000000">
              <w:rPr>
                <w:vertAlign w:val="superscript"/>
                <w:rtl w:val="0"/>
              </w:rPr>
              <w:t xml:space="preserve">1</w:t>
            </w:r>
            <w:r w:rsidR="00000000" w:rsidRPr="00000000" w:rsidDel="00000000">
              <w:rPr>
                <w:rtl w:val="0"/>
              </w:rPr>
              <w:t xml:space="preserve"> punkts) un precizēt to, nodrošinot Direktīvas 2024/2749 pienācīgu pārņemšanu. Vēršam uzmanību, ka atbilstoši projekta 1.3. apakšpunktā pārņemtajam Direktīvas 2024/2749 3. panta 2. apakšpunktam (Direktīvas 2010/35 33.b panta 2. punkts) jāievēro nosacījums, ka paziņotā institūcija izskata visus pieteikumus "neatkarīgi no tā, vai minētie pieteikumi iesniegti pirms vai pēc ārkārtas situācijas procedūru aktivizēšanas, ievērojot 33.a pantu", kas no projekta tieši neizriet.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ievērot konsekventu terminoloģiju attiecībā uz Noteikumos lietotajiem terminiem "būtiskas drošuma prasības" un "būtiskas drošuma pamatprasības".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izvērtēts un attiecīgi precizēta noteikumu projekta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izvērtēts par krīzē būtisku preci, un secināts, ka konkrētā prasība nozīmē, ka prioritāte atbilstības novērtēšanas pieteikumu izskatīšanā tiek piemērota neatkarīgi no pieteikuma iesniegšanas brīža, proti, gan attiecībā uz pieteikumiem, kas iesniegti pirms ārkārtas situācijas režīma aktivizēšanas, gan uz tiem, kas iesniegti pēc tā, ja tie attiecas uz transportējamo spiedieniekārtu, kas atzītas par krīzē būtiskām precēm. Vēršam izmanību, ka ar noteikumu projektu nav tik detalizēti izdalīts par pieteikuma iesniegšanas brīdi, līdz ar to, ja transportējamā spiedieniekārta tiek atzīta par krīzē būtiskām precēm, tad paziņotajai institūcijai jāprioratizē visi pieteikumi par transportējamām spiedieniekārtām, kas atzītas par krīzē būtiskām precēm.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precizēts noteikumu projekts, lai ievērotu konsekventu terminoloģiju attiecībā uz lietoto terminu "būtiskas drošuma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w:t>
            </w:r>
            <w:r w:rsidR="00000000" w:rsidRPr="00000000" w:rsidDel="00000000">
              <w:rPr>
                <w:vertAlign w:val="superscript"/>
                <w:rtl w:val="0"/>
              </w:rPr>
              <w:t xml:space="preserve">1</w:t>
            </w:r>
            <w:r w:rsidR="00000000" w:rsidRPr="00000000" w:rsidDel="00000000">
              <w:rPr>
                <w:rtl w:val="0"/>
              </w:rPr>
              <w:t xml:space="preserve"> Paziņotā institūcija prioritārā kārtā izskata pieteikumus par tādu transportējamo spiedieniekārtu atbilstības novērtēšanu, kas atzītas par krīzē būtisku preci.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w:t>
            </w:r>
            <w:r w:rsidR="00000000" w:rsidRPr="00000000" w:rsidDel="00000000">
              <w:rPr>
                <w:vertAlign w:val="superscript"/>
                <w:rtl w:val="0"/>
              </w:rPr>
              <w:t xml:space="preserve">5</w:t>
            </w:r>
            <w:r w:rsidR="00000000" w:rsidRPr="00000000" w:rsidDel="00000000">
              <w:rPr>
                <w:rtl w:val="0"/>
              </w:rPr>
              <w:t xml:space="preserve"> Tirgus uzraudzības iestāde ir tiesīga atzīt citas Eiropas Savienības dalībvalsts kompetentās valsts iestādes atļauju un tās derīgumu pirms Eiropas Komisija ir pieņēmusi saistošu Īstenošanas aktu.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- 30.03.2026.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anotācijā skaidrot, kādā kārtībā paredzēta citas Eiropas Savienības dalībvalsts kompetentās valsts iestādes atļaujas un tās derīguma atzīšana, tostarp, vai nepieciešams personas attiecīgs iesniegums, vai iesniegumam pievienojama citas Eiropas Savienības dalībvalsts kompetentās valsts iestādes atļauja u.tml., nepieciešamības gadījumā noteikumu projektu papildinot ar attiecīgu tiesisko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noteikumu projekta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w:t>
            </w:r>
            <w:r w:rsidR="00000000" w:rsidRPr="00000000" w:rsidDel="00000000">
              <w:rPr>
                <w:vertAlign w:val="superscript"/>
                <w:rtl w:val="0"/>
              </w:rPr>
              <w:t xml:space="preserve">5</w:t>
            </w:r>
            <w:r w:rsidR="00000000" w:rsidRPr="00000000" w:rsidDel="00000000">
              <w:rPr>
                <w:rtl w:val="0"/>
              </w:rPr>
              <w:t xml:space="preserve"> Tirgus uzraudzības iestāde ir tiesīga atzīt citas Eiropas Savienības dalībvalsts kompetentās valsts iestādes atļauju un tās derīgumu pirms Eiropas Komisija ir pieņēmusi saistošu Īstenošanas aktu.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w:t>
            </w:r>
            <w:r w:rsidR="00000000" w:rsidRPr="00000000" w:rsidDel="00000000">
              <w:rPr>
                <w:vertAlign w:val="superscript"/>
                <w:rtl w:val="0"/>
              </w:rPr>
              <w:t xml:space="preserve">11</w:t>
            </w:r>
            <w:r w:rsidR="00000000" w:rsidRPr="00000000" w:rsidDel="00000000">
              <w:rPr>
                <w:rtl w:val="0"/>
              </w:rPr>
              <w:t xml:space="preserve"> Tirgus uzraudzības iestāde, ņemot vērā šo noteikumu 100.</w:t>
            </w:r>
            <w:r w:rsidR="00000000" w:rsidRPr="00000000" w:rsidDel="00000000">
              <w:rPr>
                <w:vertAlign w:val="superscript"/>
                <w:rtl w:val="0"/>
              </w:rPr>
              <w:t xml:space="preserve">4</w:t>
            </w:r>
            <w:r w:rsidR="00000000" w:rsidRPr="00000000" w:rsidDel="00000000">
              <w:rPr>
                <w:rtl w:val="0"/>
              </w:rPr>
              <w:t xml:space="preserve"> un 100.</w:t>
            </w:r>
            <w:r w:rsidR="00000000" w:rsidRPr="00000000" w:rsidDel="00000000">
              <w:rPr>
                <w:vertAlign w:val="superscript"/>
                <w:rtl w:val="0"/>
              </w:rPr>
              <w:t xml:space="preserve">6</w:t>
            </w:r>
            <w:r w:rsidR="00000000" w:rsidRPr="00000000" w:rsidDel="00000000">
              <w:rPr>
                <w:rtl w:val="0"/>
              </w:rPr>
              <w:t xml:space="preserve">  punktu, ir tiesīga transportējamai spiedieniekārtai veikt visas korektīvās un ierobežojošās darbības, kas paredzētas Eiropas Parlamenta un Padomes 2019. gada 20. jūnija Regulā Nr. 2019/1020 par tirgus uzraudzību un produktu atbilstību un ar ko groza Direktīvu 2004/42/EK un Regulas (EK) Nr. 765/2008 un (ES) Nr. 305/2011 un šajos noteikumos.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- 30.03.2026. - pēc termiņa)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projekta 1.4. apakšpunktā (Noteikumu 100.</w:t>
            </w:r>
            <w:r w:rsidR="00000000" w:rsidRPr="00000000" w:rsidDel="00000000">
              <w:rPr>
                <w:vertAlign w:val="superscript"/>
                <w:rtl w:val="0"/>
              </w:rPr>
              <w:t xml:space="preserve">11</w:t>
            </w:r>
            <w:r w:rsidR="00000000" w:rsidRPr="00000000" w:rsidDel="00000000">
              <w:rPr>
                <w:rtl w:val="0"/>
              </w:rPr>
              <w:t xml:space="preserve"> punktā) nedublēt likuma "Par atbilstības novērtēšanu" 9.</w:t>
            </w:r>
            <w:r w:rsidR="00000000" w:rsidRPr="00000000" w:rsidDel="00000000">
              <w:rPr>
                <w:vertAlign w:val="superscript"/>
                <w:rtl w:val="0"/>
              </w:rPr>
              <w:t xml:space="preserve">6</w:t>
            </w:r>
            <w:r w:rsidR="00000000" w:rsidRPr="00000000" w:rsidDel="00000000">
              <w:rPr>
                <w:rtl w:val="0"/>
              </w:rPr>
              <w:t xml:space="preserve"> panta pirmajā daļā ietverto regulējumu un svītrot minēto Noteikumu vienību vai sniegt pamatotu skaidrojumu par attiecīgās grozīto noteikumu normas atbilstību minētā likuma 7. pantā ietvertajam pilnvarojumam noteikumu projekta anotācijā.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noteikumu projekta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w:t>
            </w:r>
            <w:r w:rsidR="00000000" w:rsidRPr="00000000" w:rsidDel="00000000">
              <w:rPr>
                <w:vertAlign w:val="superscript"/>
                <w:rtl w:val="0"/>
              </w:rPr>
              <w:t xml:space="preserve">11</w:t>
            </w:r>
            <w:r w:rsidR="00000000" w:rsidRPr="00000000" w:rsidDel="00000000">
              <w:rPr>
                <w:rtl w:val="0"/>
              </w:rPr>
              <w:t xml:space="preserve"> Tirgus uzraudzības iestāde, ņemot vērā šo noteikumu 100.</w:t>
            </w:r>
            <w:r w:rsidR="00000000" w:rsidRPr="00000000" w:rsidDel="00000000">
              <w:rPr>
                <w:vertAlign w:val="superscript"/>
                <w:rtl w:val="0"/>
              </w:rPr>
              <w:t xml:space="preserve">4</w:t>
            </w:r>
            <w:r w:rsidR="00000000" w:rsidRPr="00000000" w:rsidDel="00000000">
              <w:rPr>
                <w:rtl w:val="0"/>
              </w:rPr>
              <w:t xml:space="preserve"> un 100.</w:t>
            </w:r>
            <w:r w:rsidR="00000000" w:rsidRPr="00000000" w:rsidDel="00000000">
              <w:rPr>
                <w:vertAlign w:val="superscript"/>
                <w:rtl w:val="0"/>
              </w:rPr>
              <w:t xml:space="preserve">6</w:t>
            </w:r>
            <w:r w:rsidR="00000000" w:rsidRPr="00000000" w:rsidDel="00000000">
              <w:rPr>
                <w:rtl w:val="0"/>
              </w:rPr>
              <w:t xml:space="preserve">  punktu, ir tiesīga transportējamai spiedieniekārtai veikt visas korektīvās un ierobežojošās darbības, kas paredzētas Eiropas Parlamenta un Padomes 2019. gada 20. jūnija Regulā Nr. 2019/1020 par tirgus uzraudzību un produktu atbilstību un ar ko groza Direktīvu 2004/42/EK un Regulas (EK) Nr. 765/2008 un (ES) Nr. 305/2011 un šajos noteikumos.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26-TA-276</w:t>
    </w:r>
    <w:r>
      <w:br/>
    </w:r>
    <w:r w:rsidR="00000000" w:rsidRPr="00000000" w:rsidDel="00000000">
      <w:rPr>
        <w:rtl w:val="0"/>
      </w:rPr>
      <w:t xml:space="preserve">29.04.2026. 10.11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26-TA-276</w:t>
    </w:r>
    <w:r>
      <w:br/>
    </w:r>
    <w:r w:rsidR="00000000" w:rsidRPr="00000000" w:rsidDel="00000000">
      <w:rPr>
        <w:rtl w:val="0"/>
      </w:rPr>
      <w:t xml:space="preserve">29.04.2026. 10.11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Izziņa_26-TA-276.docx</dc:title>
</cp:coreProperties>
</file>

<file path=docProps/custom.xml><?xml version="1.0" encoding="utf-8"?>
<Properties xmlns="http://schemas.openxmlformats.org/officeDocument/2006/custom-properties" xmlns:vt="http://schemas.openxmlformats.org/officeDocument/2006/docPropsVTypes"/>
</file>