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85C9" w14:textId="77777777" w:rsidR="00786DAF" w:rsidRDefault="00786DAF" w:rsidP="002C22B9">
      <w:pPr>
        <w:jc w:val="center"/>
        <w:rPr>
          <w:sz w:val="20"/>
        </w:rPr>
      </w:pPr>
    </w:p>
    <w:p w14:paraId="59B17697" w14:textId="77777777" w:rsidR="002C22B9" w:rsidRDefault="002C22B9" w:rsidP="002C22B9">
      <w:pPr>
        <w:jc w:val="center"/>
        <w:rPr>
          <w:sz w:val="20"/>
        </w:rPr>
      </w:pPr>
      <w:r w:rsidRPr="00914649">
        <w:rPr>
          <w:sz w:val="20"/>
        </w:rPr>
        <w:t>Rīgā</w:t>
      </w:r>
    </w:p>
    <w:p w14:paraId="081F6164" w14:textId="77777777" w:rsidR="002C22B9" w:rsidRDefault="002C22B9" w:rsidP="007F3771">
      <w:pPr>
        <w:rPr>
          <w:spacing w:val="4"/>
          <w:sz w:val="20"/>
        </w:rPr>
      </w:pPr>
    </w:p>
    <w:tbl>
      <w:tblPr>
        <w:tblW w:w="0" w:type="auto"/>
        <w:tblLook w:val="0000" w:firstRow="0" w:lastRow="0" w:firstColumn="0" w:lastColumn="0" w:noHBand="0" w:noVBand="0"/>
      </w:tblPr>
      <w:tblGrid>
        <w:gridCol w:w="485"/>
        <w:gridCol w:w="1785"/>
        <w:gridCol w:w="708"/>
        <w:gridCol w:w="2727"/>
      </w:tblGrid>
      <w:tr w:rsidR="002C22B9" w:rsidRPr="007248B9" w14:paraId="30D61B04" w14:textId="77777777" w:rsidTr="009F77B9">
        <w:tc>
          <w:tcPr>
            <w:tcW w:w="450" w:type="dxa"/>
            <w:tcBorders>
              <w:top w:val="nil"/>
              <w:left w:val="nil"/>
              <w:bottom w:val="nil"/>
              <w:right w:val="nil"/>
            </w:tcBorders>
          </w:tcPr>
          <w:p w14:paraId="36E7E756" w14:textId="77777777" w:rsidR="002C22B9" w:rsidRPr="007248B9" w:rsidRDefault="002C22B9" w:rsidP="002C22B9">
            <w:pPr>
              <w:tabs>
                <w:tab w:val="left" w:pos="360"/>
                <w:tab w:val="left" w:pos="3960"/>
              </w:tabs>
              <w:rPr>
                <w:sz w:val="23"/>
                <w:szCs w:val="23"/>
              </w:rPr>
            </w:pPr>
          </w:p>
        </w:tc>
        <w:bookmarkStart w:id="0" w:name="reg_dat"/>
        <w:tc>
          <w:tcPr>
            <w:tcW w:w="1785" w:type="dxa"/>
            <w:tcBorders>
              <w:top w:val="nil"/>
              <w:left w:val="nil"/>
              <w:bottom w:val="single" w:sz="4" w:space="0" w:color="auto"/>
              <w:right w:val="nil"/>
            </w:tcBorders>
          </w:tcPr>
          <w:p w14:paraId="79A295F2" w14:textId="632761FD" w:rsidR="002C22B9" w:rsidRPr="007248B9" w:rsidRDefault="002C22B9" w:rsidP="002C22B9">
            <w:pPr>
              <w:tabs>
                <w:tab w:val="left" w:pos="3960"/>
              </w:tabs>
              <w:rPr>
                <w:sz w:val="23"/>
                <w:szCs w:val="23"/>
              </w:rPr>
            </w:pPr>
            <w:r w:rsidRPr="007248B9">
              <w:rPr>
                <w:sz w:val="23"/>
                <w:szCs w:val="23"/>
              </w:rPr>
              <w:fldChar w:fldCharType="begin">
                <w:ffData>
                  <w:name w:val="reg_dat"/>
                  <w:enabled/>
                  <w:calcOnExit w:val="0"/>
                  <w:textInput>
                    <w:default w:val="                      "/>
                  </w:textInput>
                </w:ffData>
              </w:fldChar>
            </w:r>
            <w:r w:rsidRPr="007248B9">
              <w:rPr>
                <w:sz w:val="23"/>
                <w:szCs w:val="23"/>
              </w:rPr>
              <w:instrText xml:space="preserve"> FORMTEXT </w:instrText>
            </w:r>
            <w:r w:rsidRPr="007248B9">
              <w:rPr>
                <w:sz w:val="23"/>
                <w:szCs w:val="23"/>
              </w:rPr>
            </w:r>
            <w:r w:rsidRPr="007248B9">
              <w:rPr>
                <w:sz w:val="23"/>
                <w:szCs w:val="23"/>
              </w:rPr>
              <w:fldChar w:fldCharType="separate"/>
            </w:r>
            <w:r w:rsidR="00186EC7">
              <w:rPr>
                <w:sz w:val="23"/>
                <w:szCs w:val="23"/>
              </w:rPr>
              <w:t>09.09.2021</w:t>
            </w:r>
            <w:r w:rsidRPr="007248B9">
              <w:rPr>
                <w:sz w:val="23"/>
                <w:szCs w:val="23"/>
              </w:rPr>
              <w:fldChar w:fldCharType="end"/>
            </w:r>
            <w:bookmarkEnd w:id="0"/>
          </w:p>
        </w:tc>
        <w:tc>
          <w:tcPr>
            <w:tcW w:w="708" w:type="dxa"/>
            <w:tcBorders>
              <w:top w:val="nil"/>
              <w:left w:val="nil"/>
              <w:bottom w:val="nil"/>
              <w:right w:val="nil"/>
            </w:tcBorders>
          </w:tcPr>
          <w:p w14:paraId="6D5F5E98" w14:textId="77777777" w:rsidR="002C22B9" w:rsidRPr="007248B9" w:rsidRDefault="002C22B9" w:rsidP="002C22B9">
            <w:pPr>
              <w:tabs>
                <w:tab w:val="left" w:pos="360"/>
                <w:tab w:val="left" w:pos="3960"/>
              </w:tabs>
              <w:jc w:val="center"/>
              <w:rPr>
                <w:sz w:val="23"/>
                <w:szCs w:val="23"/>
              </w:rPr>
            </w:pPr>
            <w:r w:rsidRPr="007248B9">
              <w:rPr>
                <w:sz w:val="23"/>
                <w:szCs w:val="23"/>
              </w:rPr>
              <w:t>Nr.</w:t>
            </w:r>
          </w:p>
        </w:tc>
        <w:bookmarkStart w:id="1" w:name="lietas_nr"/>
        <w:tc>
          <w:tcPr>
            <w:tcW w:w="2727" w:type="dxa"/>
            <w:tcBorders>
              <w:top w:val="nil"/>
              <w:left w:val="nil"/>
              <w:bottom w:val="single" w:sz="4" w:space="0" w:color="auto"/>
              <w:right w:val="nil"/>
            </w:tcBorders>
          </w:tcPr>
          <w:p w14:paraId="7EBCECD1" w14:textId="071F0090" w:rsidR="002C22B9" w:rsidRPr="007248B9" w:rsidRDefault="002C22B9" w:rsidP="002C22B9">
            <w:pPr>
              <w:tabs>
                <w:tab w:val="left" w:pos="360"/>
                <w:tab w:val="left" w:pos="3960"/>
              </w:tabs>
              <w:rPr>
                <w:sz w:val="23"/>
                <w:szCs w:val="23"/>
              </w:rPr>
            </w:pPr>
            <w:r w:rsidRPr="007248B9">
              <w:rPr>
                <w:sz w:val="23"/>
                <w:szCs w:val="23"/>
              </w:rPr>
              <w:fldChar w:fldCharType="begin">
                <w:ffData>
                  <w:name w:val="lietas_nr"/>
                  <w:enabled/>
                  <w:calcOnExit w:val="0"/>
                  <w:textInput>
                    <w:default w:val="                "/>
                  </w:textInput>
                </w:ffData>
              </w:fldChar>
            </w:r>
            <w:r w:rsidRPr="007248B9">
              <w:rPr>
                <w:sz w:val="23"/>
                <w:szCs w:val="23"/>
              </w:rPr>
              <w:instrText xml:space="preserve"> FORMTEXT </w:instrText>
            </w:r>
            <w:r w:rsidRPr="007248B9">
              <w:rPr>
                <w:sz w:val="23"/>
                <w:szCs w:val="23"/>
              </w:rPr>
            </w:r>
            <w:r w:rsidRPr="007248B9">
              <w:rPr>
                <w:sz w:val="23"/>
                <w:szCs w:val="23"/>
              </w:rPr>
              <w:fldChar w:fldCharType="separate"/>
            </w:r>
            <w:r w:rsidR="00CA6A34" w:rsidRPr="007248B9">
              <w:rPr>
                <w:sz w:val="23"/>
                <w:szCs w:val="23"/>
              </w:rPr>
              <w:t>12/A-21</w:t>
            </w:r>
            <w:r w:rsidRPr="007248B9">
              <w:rPr>
                <w:sz w:val="23"/>
                <w:szCs w:val="23"/>
              </w:rPr>
              <w:fldChar w:fldCharType="end"/>
            </w:r>
            <w:bookmarkEnd w:id="1"/>
            <w:r w:rsidRPr="007248B9">
              <w:rPr>
                <w:sz w:val="23"/>
                <w:szCs w:val="23"/>
              </w:rPr>
              <w:t>/</w:t>
            </w:r>
            <w:bookmarkStart w:id="2" w:name="reg_num"/>
            <w:r w:rsidRPr="007248B9">
              <w:rPr>
                <w:sz w:val="23"/>
                <w:szCs w:val="23"/>
              </w:rPr>
              <w:fldChar w:fldCharType="begin">
                <w:ffData>
                  <w:name w:val="reg_num"/>
                  <w:enabled/>
                  <w:calcOnExit w:val="0"/>
                  <w:textInput>
                    <w:default w:val="            "/>
                  </w:textInput>
                </w:ffData>
              </w:fldChar>
            </w:r>
            <w:r w:rsidRPr="007248B9">
              <w:rPr>
                <w:sz w:val="23"/>
                <w:szCs w:val="23"/>
              </w:rPr>
              <w:instrText xml:space="preserve"> FORMTEXT </w:instrText>
            </w:r>
            <w:r w:rsidRPr="007248B9">
              <w:rPr>
                <w:sz w:val="23"/>
                <w:szCs w:val="23"/>
              </w:rPr>
            </w:r>
            <w:r w:rsidRPr="007248B9">
              <w:rPr>
                <w:sz w:val="23"/>
                <w:szCs w:val="23"/>
              </w:rPr>
              <w:fldChar w:fldCharType="separate"/>
            </w:r>
            <w:r w:rsidR="00186EC7">
              <w:rPr>
                <w:sz w:val="23"/>
                <w:szCs w:val="23"/>
              </w:rPr>
              <w:t>4979</w:t>
            </w:r>
            <w:r w:rsidRPr="007248B9">
              <w:rPr>
                <w:sz w:val="23"/>
                <w:szCs w:val="23"/>
              </w:rPr>
              <w:fldChar w:fldCharType="end"/>
            </w:r>
            <w:bookmarkEnd w:id="2"/>
          </w:p>
        </w:tc>
      </w:tr>
      <w:tr w:rsidR="002C22B9" w:rsidRPr="007248B9" w14:paraId="6CADF0B3" w14:textId="77777777" w:rsidTr="009F77B9">
        <w:trPr>
          <w:trHeight w:val="188"/>
        </w:trPr>
        <w:tc>
          <w:tcPr>
            <w:tcW w:w="450" w:type="dxa"/>
            <w:tcBorders>
              <w:top w:val="nil"/>
              <w:left w:val="nil"/>
              <w:bottom w:val="nil"/>
              <w:right w:val="nil"/>
            </w:tcBorders>
          </w:tcPr>
          <w:p w14:paraId="20D7437E" w14:textId="77777777" w:rsidR="002C22B9" w:rsidRPr="007248B9" w:rsidRDefault="002C22B9" w:rsidP="002C22B9">
            <w:pPr>
              <w:tabs>
                <w:tab w:val="left" w:pos="360"/>
                <w:tab w:val="left" w:pos="3960"/>
              </w:tabs>
              <w:rPr>
                <w:sz w:val="23"/>
                <w:szCs w:val="23"/>
              </w:rPr>
            </w:pPr>
          </w:p>
        </w:tc>
        <w:tc>
          <w:tcPr>
            <w:tcW w:w="1785" w:type="dxa"/>
            <w:tcBorders>
              <w:top w:val="single" w:sz="4" w:space="0" w:color="auto"/>
              <w:left w:val="nil"/>
              <w:bottom w:val="nil"/>
              <w:right w:val="nil"/>
            </w:tcBorders>
          </w:tcPr>
          <w:p w14:paraId="7D4506D8" w14:textId="77777777" w:rsidR="002C22B9" w:rsidRPr="007248B9" w:rsidRDefault="002C22B9" w:rsidP="002C22B9">
            <w:pPr>
              <w:tabs>
                <w:tab w:val="left" w:pos="360"/>
                <w:tab w:val="left" w:pos="3960"/>
              </w:tabs>
              <w:rPr>
                <w:sz w:val="23"/>
                <w:szCs w:val="23"/>
              </w:rPr>
            </w:pPr>
          </w:p>
        </w:tc>
        <w:tc>
          <w:tcPr>
            <w:tcW w:w="708" w:type="dxa"/>
            <w:tcBorders>
              <w:top w:val="nil"/>
              <w:left w:val="nil"/>
              <w:bottom w:val="nil"/>
              <w:right w:val="nil"/>
            </w:tcBorders>
          </w:tcPr>
          <w:p w14:paraId="5C249703" w14:textId="77777777" w:rsidR="002C22B9" w:rsidRPr="007248B9" w:rsidRDefault="002C22B9" w:rsidP="002C22B9">
            <w:pPr>
              <w:tabs>
                <w:tab w:val="left" w:pos="360"/>
                <w:tab w:val="left" w:pos="3960"/>
              </w:tabs>
              <w:jc w:val="center"/>
              <w:rPr>
                <w:sz w:val="23"/>
                <w:szCs w:val="23"/>
              </w:rPr>
            </w:pPr>
          </w:p>
        </w:tc>
        <w:tc>
          <w:tcPr>
            <w:tcW w:w="2727" w:type="dxa"/>
            <w:tcBorders>
              <w:top w:val="single" w:sz="4" w:space="0" w:color="auto"/>
              <w:left w:val="nil"/>
              <w:bottom w:val="nil"/>
              <w:right w:val="nil"/>
            </w:tcBorders>
          </w:tcPr>
          <w:p w14:paraId="02C22263" w14:textId="77777777" w:rsidR="002C22B9" w:rsidRPr="007248B9" w:rsidRDefault="002C22B9" w:rsidP="002C22B9">
            <w:pPr>
              <w:tabs>
                <w:tab w:val="left" w:pos="360"/>
                <w:tab w:val="left" w:pos="3960"/>
              </w:tabs>
              <w:rPr>
                <w:sz w:val="23"/>
                <w:szCs w:val="23"/>
              </w:rPr>
            </w:pPr>
          </w:p>
        </w:tc>
      </w:tr>
      <w:tr w:rsidR="002C22B9" w:rsidRPr="007248B9" w14:paraId="7864F14E" w14:textId="77777777" w:rsidTr="009F77B9">
        <w:tc>
          <w:tcPr>
            <w:tcW w:w="450" w:type="dxa"/>
            <w:tcBorders>
              <w:top w:val="nil"/>
              <w:left w:val="nil"/>
              <w:bottom w:val="nil"/>
              <w:right w:val="nil"/>
            </w:tcBorders>
          </w:tcPr>
          <w:p w14:paraId="67F800D5" w14:textId="77777777" w:rsidR="002C22B9" w:rsidRPr="007248B9" w:rsidRDefault="002C22B9" w:rsidP="002C22B9">
            <w:pPr>
              <w:tabs>
                <w:tab w:val="left" w:pos="360"/>
                <w:tab w:val="left" w:pos="3960"/>
              </w:tabs>
              <w:rPr>
                <w:sz w:val="23"/>
                <w:szCs w:val="23"/>
              </w:rPr>
            </w:pPr>
            <w:r w:rsidRPr="007248B9">
              <w:rPr>
                <w:sz w:val="23"/>
                <w:szCs w:val="23"/>
              </w:rPr>
              <w:t>Uz</w:t>
            </w:r>
          </w:p>
        </w:tc>
        <w:bookmarkStart w:id="3" w:name="san_dat"/>
        <w:tc>
          <w:tcPr>
            <w:tcW w:w="1785" w:type="dxa"/>
            <w:tcBorders>
              <w:top w:val="nil"/>
              <w:left w:val="nil"/>
              <w:bottom w:val="single" w:sz="4" w:space="0" w:color="auto"/>
              <w:right w:val="nil"/>
            </w:tcBorders>
          </w:tcPr>
          <w:p w14:paraId="3044DB40" w14:textId="77777777" w:rsidR="002C22B9" w:rsidRPr="007248B9" w:rsidRDefault="002C22B9" w:rsidP="002C22B9">
            <w:pPr>
              <w:tabs>
                <w:tab w:val="left" w:pos="360"/>
                <w:tab w:val="left" w:pos="3960"/>
              </w:tabs>
              <w:rPr>
                <w:sz w:val="23"/>
                <w:szCs w:val="23"/>
              </w:rPr>
            </w:pPr>
            <w:r w:rsidRPr="007248B9">
              <w:rPr>
                <w:sz w:val="23"/>
                <w:szCs w:val="23"/>
              </w:rPr>
              <w:fldChar w:fldCharType="begin">
                <w:ffData>
                  <w:name w:val="san_dat"/>
                  <w:enabled/>
                  <w:calcOnExit w:val="0"/>
                  <w:textInput>
                    <w:default w:val="                      "/>
                  </w:textInput>
                </w:ffData>
              </w:fldChar>
            </w:r>
            <w:r w:rsidRPr="007248B9">
              <w:rPr>
                <w:sz w:val="23"/>
                <w:szCs w:val="23"/>
              </w:rPr>
              <w:instrText xml:space="preserve"> FORMTEXT </w:instrText>
            </w:r>
            <w:r w:rsidRPr="007248B9">
              <w:rPr>
                <w:sz w:val="23"/>
                <w:szCs w:val="23"/>
              </w:rPr>
            </w:r>
            <w:r w:rsidRPr="007248B9">
              <w:rPr>
                <w:sz w:val="23"/>
                <w:szCs w:val="23"/>
              </w:rPr>
              <w:fldChar w:fldCharType="separate"/>
            </w:r>
            <w:r w:rsidR="00CA6A34" w:rsidRPr="007248B9">
              <w:rPr>
                <w:sz w:val="23"/>
                <w:szCs w:val="23"/>
              </w:rPr>
              <w:t>26.08.2021</w:t>
            </w:r>
            <w:r w:rsidRPr="007248B9">
              <w:rPr>
                <w:sz w:val="23"/>
                <w:szCs w:val="23"/>
              </w:rPr>
              <w:fldChar w:fldCharType="end"/>
            </w:r>
            <w:bookmarkEnd w:id="3"/>
          </w:p>
        </w:tc>
        <w:tc>
          <w:tcPr>
            <w:tcW w:w="708" w:type="dxa"/>
            <w:tcBorders>
              <w:top w:val="nil"/>
              <w:left w:val="nil"/>
              <w:bottom w:val="nil"/>
              <w:right w:val="nil"/>
            </w:tcBorders>
          </w:tcPr>
          <w:p w14:paraId="5C9BE0FE" w14:textId="77777777" w:rsidR="002C22B9" w:rsidRPr="007248B9" w:rsidRDefault="002C22B9" w:rsidP="002C22B9">
            <w:pPr>
              <w:tabs>
                <w:tab w:val="left" w:pos="360"/>
                <w:tab w:val="left" w:pos="3960"/>
              </w:tabs>
              <w:jc w:val="center"/>
              <w:rPr>
                <w:sz w:val="23"/>
                <w:szCs w:val="23"/>
              </w:rPr>
            </w:pPr>
            <w:r w:rsidRPr="007248B9">
              <w:rPr>
                <w:sz w:val="23"/>
                <w:szCs w:val="23"/>
              </w:rPr>
              <w:t>Nr.</w:t>
            </w:r>
          </w:p>
        </w:tc>
        <w:bookmarkStart w:id="4" w:name="san_num"/>
        <w:tc>
          <w:tcPr>
            <w:tcW w:w="2727" w:type="dxa"/>
            <w:tcBorders>
              <w:top w:val="nil"/>
              <w:left w:val="nil"/>
              <w:bottom w:val="single" w:sz="4" w:space="0" w:color="auto"/>
              <w:right w:val="nil"/>
            </w:tcBorders>
          </w:tcPr>
          <w:p w14:paraId="631359B2" w14:textId="77777777" w:rsidR="002C22B9" w:rsidRPr="007248B9" w:rsidRDefault="002C22B9" w:rsidP="002C22B9">
            <w:pPr>
              <w:tabs>
                <w:tab w:val="left" w:pos="360"/>
                <w:tab w:val="left" w:pos="3960"/>
              </w:tabs>
              <w:rPr>
                <w:sz w:val="23"/>
                <w:szCs w:val="23"/>
              </w:rPr>
            </w:pPr>
            <w:r w:rsidRPr="007248B9">
              <w:rPr>
                <w:sz w:val="23"/>
                <w:szCs w:val="23"/>
              </w:rPr>
              <w:fldChar w:fldCharType="begin">
                <w:ffData>
                  <w:name w:val="san_num"/>
                  <w:enabled/>
                  <w:calcOnExit w:val="0"/>
                  <w:textInput>
                    <w:default w:val="                             "/>
                  </w:textInput>
                </w:ffData>
              </w:fldChar>
            </w:r>
            <w:r w:rsidRPr="007248B9">
              <w:rPr>
                <w:sz w:val="23"/>
                <w:szCs w:val="23"/>
              </w:rPr>
              <w:instrText xml:space="preserve"> FORMTEXT </w:instrText>
            </w:r>
            <w:r w:rsidRPr="007248B9">
              <w:rPr>
                <w:sz w:val="23"/>
                <w:szCs w:val="23"/>
              </w:rPr>
            </w:r>
            <w:r w:rsidRPr="007248B9">
              <w:rPr>
                <w:sz w:val="23"/>
                <w:szCs w:val="23"/>
              </w:rPr>
              <w:fldChar w:fldCharType="separate"/>
            </w:r>
            <w:r w:rsidR="00CA6A34" w:rsidRPr="007248B9">
              <w:rPr>
                <w:sz w:val="23"/>
                <w:szCs w:val="23"/>
              </w:rPr>
              <w:t>VSS-808, 30  28§</w:t>
            </w:r>
            <w:r w:rsidRPr="007248B9">
              <w:rPr>
                <w:sz w:val="23"/>
                <w:szCs w:val="23"/>
              </w:rPr>
              <w:fldChar w:fldCharType="end"/>
            </w:r>
            <w:bookmarkEnd w:id="4"/>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rsidRPr="007248B9" w14:paraId="26264569" w14:textId="77777777" w:rsidTr="000C0DD4">
        <w:trPr>
          <w:jc w:val="right"/>
        </w:trPr>
        <w:tc>
          <w:tcPr>
            <w:tcW w:w="4644" w:type="dxa"/>
          </w:tcPr>
          <w:p w14:paraId="538A2FE7" w14:textId="77777777" w:rsidR="00CA6A34" w:rsidRPr="007248B9" w:rsidRDefault="00CA6A34" w:rsidP="000C0DD4">
            <w:pPr>
              <w:jc w:val="right"/>
              <w:rPr>
                <w:b/>
                <w:bCs/>
                <w:sz w:val="23"/>
                <w:szCs w:val="23"/>
                <w:lang w:eastAsia="lv-LV"/>
              </w:rPr>
            </w:pPr>
            <w:bookmarkStart w:id="5" w:name="org_nos"/>
            <w:r w:rsidRPr="007248B9">
              <w:rPr>
                <w:b/>
                <w:bCs/>
                <w:sz w:val="23"/>
                <w:szCs w:val="23"/>
                <w:lang w:eastAsia="lv-LV"/>
              </w:rPr>
              <w:t xml:space="preserve">Vides aizsardzības un </w:t>
            </w:r>
            <w:r w:rsidR="001B59B6" w:rsidRPr="007248B9">
              <w:rPr>
                <w:b/>
                <w:bCs/>
                <w:sz w:val="23"/>
                <w:szCs w:val="23"/>
                <w:lang w:eastAsia="lv-LV"/>
              </w:rPr>
              <w:br/>
            </w:r>
            <w:r w:rsidRPr="007248B9">
              <w:rPr>
                <w:b/>
                <w:bCs/>
                <w:sz w:val="23"/>
                <w:szCs w:val="23"/>
                <w:lang w:eastAsia="lv-LV"/>
              </w:rPr>
              <w:t>reģionālās attīstības ministrija</w:t>
            </w:r>
            <w:r w:rsidR="001B59B6" w:rsidRPr="007248B9">
              <w:rPr>
                <w:b/>
                <w:bCs/>
                <w:sz w:val="23"/>
                <w:szCs w:val="23"/>
                <w:lang w:eastAsia="lv-LV"/>
              </w:rPr>
              <w:t>i</w:t>
            </w:r>
          </w:p>
          <w:p w14:paraId="775C806A" w14:textId="77777777" w:rsidR="001B59B6" w:rsidRPr="007248B9" w:rsidRDefault="001B59B6" w:rsidP="000C0DD4">
            <w:pPr>
              <w:jc w:val="right"/>
              <w:rPr>
                <w:b/>
                <w:bCs/>
                <w:sz w:val="23"/>
                <w:szCs w:val="23"/>
                <w:lang w:eastAsia="lv-LV"/>
              </w:rPr>
            </w:pPr>
          </w:p>
          <w:p w14:paraId="32B757FF" w14:textId="77777777" w:rsidR="001B59B6" w:rsidRPr="007248B9" w:rsidRDefault="001B59B6" w:rsidP="000C0DD4">
            <w:pPr>
              <w:jc w:val="right"/>
              <w:rPr>
                <w:bCs/>
                <w:sz w:val="23"/>
                <w:szCs w:val="23"/>
                <w:lang w:eastAsia="lv-LV"/>
              </w:rPr>
            </w:pPr>
            <w:r w:rsidRPr="007248B9">
              <w:rPr>
                <w:bCs/>
                <w:sz w:val="23"/>
                <w:szCs w:val="23"/>
                <w:lang w:eastAsia="lv-LV"/>
              </w:rPr>
              <w:t>Informācijai</w:t>
            </w:r>
          </w:p>
          <w:p w14:paraId="3EB7A448" w14:textId="77777777" w:rsidR="000C0DD4" w:rsidRPr="007248B9" w:rsidRDefault="00CA6A34" w:rsidP="000C0DD4">
            <w:pPr>
              <w:jc w:val="right"/>
              <w:rPr>
                <w:b/>
                <w:bCs/>
                <w:sz w:val="23"/>
                <w:szCs w:val="23"/>
                <w:lang w:eastAsia="lv-LV"/>
              </w:rPr>
            </w:pPr>
            <w:r w:rsidRPr="007248B9">
              <w:rPr>
                <w:b/>
                <w:bCs/>
                <w:sz w:val="23"/>
                <w:szCs w:val="23"/>
                <w:lang w:eastAsia="lv-LV"/>
              </w:rPr>
              <w:t xml:space="preserve">Centrālajai finanšu un </w:t>
            </w:r>
            <w:r w:rsidR="001B59B6" w:rsidRPr="007248B9">
              <w:rPr>
                <w:b/>
                <w:bCs/>
                <w:sz w:val="23"/>
                <w:szCs w:val="23"/>
                <w:lang w:eastAsia="lv-LV"/>
              </w:rPr>
              <w:br/>
            </w:r>
            <w:r w:rsidRPr="007248B9">
              <w:rPr>
                <w:b/>
                <w:bCs/>
                <w:sz w:val="23"/>
                <w:szCs w:val="23"/>
                <w:lang w:eastAsia="lv-LV"/>
              </w:rPr>
              <w:t>līgumu aģentūrai</w:t>
            </w:r>
          </w:p>
        </w:tc>
      </w:tr>
      <w:bookmarkEnd w:id="5"/>
    </w:tbl>
    <w:p w14:paraId="25418C29" w14:textId="77777777" w:rsidR="001F53D9" w:rsidRPr="007248B9" w:rsidRDefault="001F53D9" w:rsidP="004F32A1">
      <w:pPr>
        <w:rPr>
          <w:spacing w:val="4"/>
          <w:sz w:val="23"/>
          <w:szCs w:val="23"/>
        </w:rPr>
      </w:pPr>
    </w:p>
    <w:tbl>
      <w:tblPr>
        <w:tblStyle w:val="TableGrid"/>
        <w:tblW w:w="0" w:type="auto"/>
        <w:tblLook w:val="04A0" w:firstRow="1" w:lastRow="0" w:firstColumn="1" w:lastColumn="0" w:noHBand="0" w:noVBand="1"/>
      </w:tblPr>
      <w:tblGrid>
        <w:gridCol w:w="5572"/>
      </w:tblGrid>
      <w:tr w:rsidR="000C0DD4" w:rsidRPr="007248B9" w14:paraId="5A349FE0" w14:textId="77777777" w:rsidTr="00F567F9">
        <w:trPr>
          <w:trHeight w:val="478"/>
        </w:trPr>
        <w:tc>
          <w:tcPr>
            <w:tcW w:w="5572" w:type="dxa"/>
            <w:tcBorders>
              <w:top w:val="nil"/>
              <w:left w:val="nil"/>
              <w:bottom w:val="nil"/>
              <w:right w:val="nil"/>
            </w:tcBorders>
          </w:tcPr>
          <w:p w14:paraId="5EAAD184" w14:textId="77777777" w:rsidR="000C0DD4" w:rsidRPr="007248B9" w:rsidRDefault="001B59B6" w:rsidP="001B59B6">
            <w:pPr>
              <w:rPr>
                <w:i/>
                <w:iCs/>
                <w:sz w:val="23"/>
                <w:szCs w:val="23"/>
                <w:lang w:eastAsia="lv-LV"/>
              </w:rPr>
            </w:pPr>
            <w:r w:rsidRPr="007248B9">
              <w:rPr>
                <w:i/>
                <w:iCs/>
                <w:sz w:val="23"/>
                <w:szCs w:val="23"/>
                <w:lang w:eastAsia="lv-LV"/>
              </w:rPr>
              <w:t>Par programmas projektu “</w:t>
            </w:r>
            <w:r w:rsidR="00CA6A34" w:rsidRPr="007248B9">
              <w:rPr>
                <w:i/>
                <w:iCs/>
                <w:sz w:val="23"/>
                <w:szCs w:val="23"/>
                <w:lang w:eastAsia="lv-LV"/>
              </w:rPr>
              <w:t>Centrālā Baltijas jūras reģiona pārrobežu sadarbības programma 2021.-2027.gadam</w:t>
            </w:r>
            <w:r w:rsidRPr="007248B9">
              <w:rPr>
                <w:i/>
                <w:iCs/>
                <w:sz w:val="23"/>
                <w:szCs w:val="23"/>
                <w:lang w:eastAsia="lv-LV"/>
              </w:rPr>
              <w:t>”</w:t>
            </w:r>
          </w:p>
        </w:tc>
      </w:tr>
    </w:tbl>
    <w:p w14:paraId="2FE635EF" w14:textId="77777777" w:rsidR="00E04F00" w:rsidRPr="007248B9" w:rsidRDefault="00E04F00" w:rsidP="00C04DED">
      <w:pPr>
        <w:jc w:val="left"/>
        <w:rPr>
          <w:sz w:val="23"/>
          <w:szCs w:val="23"/>
        </w:rPr>
      </w:pPr>
    </w:p>
    <w:p w14:paraId="2DAFD855" w14:textId="77777777" w:rsidR="001B59B6" w:rsidRDefault="001B59B6" w:rsidP="003118C3">
      <w:pPr>
        <w:pStyle w:val="naisc"/>
        <w:spacing w:before="0" w:after="0"/>
        <w:ind w:firstLine="720"/>
        <w:jc w:val="both"/>
        <w:rPr>
          <w:sz w:val="23"/>
          <w:szCs w:val="23"/>
        </w:rPr>
      </w:pPr>
      <w:r w:rsidRPr="007248B9">
        <w:rPr>
          <w:sz w:val="23"/>
          <w:szCs w:val="23"/>
        </w:rPr>
        <w:t xml:space="preserve">Finanšu ministrija sadarbībā ar Centrālo finanšu un līgumu aģentūru (turpmāk – CFLA) atbilstoši kompetencei ir iepazinusies ar Vides aizsardzības un reģionālās attīstības ministrijas </w:t>
      </w:r>
      <w:r w:rsidRPr="007248B9">
        <w:rPr>
          <w:sz w:val="23"/>
          <w:szCs w:val="23"/>
        </w:rPr>
        <w:br/>
        <w:t>(turpmāk – VARAM) precizēto Centrālā Baltijas jūras reģiona programmas 2021.–2027.gadam projektu (turpmāk – programmas projekts), tā Stratēģiskās vides novērtējuma ziņojuma projektu (turpmāk – vides pārskata projekts), sākotnējās ietekmes novērtējuma ziņojumu (anotāciju), tam pievienotos pielikumus un atbalsta to tālāku virzību, vienlaikus izsakot šādus iebildumus un priekšlikumus.</w:t>
      </w:r>
    </w:p>
    <w:p w14:paraId="4E0B0BCC" w14:textId="77777777" w:rsidR="00F567F9" w:rsidRPr="007248B9" w:rsidRDefault="00F567F9" w:rsidP="003118C3">
      <w:pPr>
        <w:pStyle w:val="naisc"/>
        <w:spacing w:before="0" w:after="0"/>
        <w:ind w:firstLine="720"/>
        <w:jc w:val="both"/>
        <w:rPr>
          <w:sz w:val="23"/>
          <w:szCs w:val="23"/>
        </w:rPr>
      </w:pPr>
    </w:p>
    <w:p w14:paraId="18D05F90" w14:textId="77777777" w:rsidR="001B59B6" w:rsidRPr="007248B9" w:rsidRDefault="001B59B6" w:rsidP="001B59B6">
      <w:pPr>
        <w:rPr>
          <w:sz w:val="23"/>
          <w:szCs w:val="23"/>
        </w:rPr>
      </w:pPr>
      <w:r w:rsidRPr="007248B9">
        <w:rPr>
          <w:sz w:val="23"/>
          <w:szCs w:val="23"/>
        </w:rPr>
        <w:t xml:space="preserve">Iebildumi. </w:t>
      </w:r>
    </w:p>
    <w:p w14:paraId="0CEED19C" w14:textId="77777777" w:rsidR="001B59B6" w:rsidRPr="007248B9" w:rsidRDefault="001B59B6" w:rsidP="001B59B6">
      <w:pPr>
        <w:numPr>
          <w:ilvl w:val="0"/>
          <w:numId w:val="1"/>
        </w:numPr>
        <w:rPr>
          <w:sz w:val="23"/>
          <w:szCs w:val="23"/>
        </w:rPr>
      </w:pPr>
      <w:r w:rsidRPr="007248B9">
        <w:rPr>
          <w:sz w:val="23"/>
          <w:szCs w:val="23"/>
        </w:rPr>
        <w:t>Lūdzam nodrošināt, ka programmas projekta 4.politikas mērķa “Darba tirgus” projekti tiek saskaņoti arī ar Nodarbinātības un valsts aģentūru (ņemot vērā Ministru kabineta (turpmāk – MK) 2012.gada 18.decembra noteikumus Nr.876 “Nodarbinātības valsts aģentūras nolikums”). Vienlaikus informējam, ka akciju sabiedrība “Attīstības finanšu institūcija Altum” veic darbības programmas “Izaugsme un nodarbinātība” 9.1.1.specifiskā atbalsta mērķa “Palielināt nelabvēlīgākā situācijā esošu bezdarbnieku iekļaušanos darba tirgū” 9.1.1.3.pasākuma “Atbalsts sociālajai uzņēmējdarbībai” (turpmāk – 9.1.1.3.pasākums) projekta sadarbības partnera pienākumus. 9.1.1.3.pasākuma mērķis ir noteikt un pārbaudīt optimālus risinājumus sociālo uzņēmumu izveidei un attīstībai, tai skaitā darba integrācijas sociālo uzņēmumu atbalstam, lai palielinātu nodarbinātības iespējas sociālās atstumtības riskam pakļauto iedzīvotāju grupām, nelabvēlīgākā situācijā esošiem bezdarbniekiem, personām ar invaliditāti un personām ar garīga rakstura traucējumiem. Ievērojot to, ka arī Eiropas Savienības fondu</w:t>
      </w:r>
      <w:r w:rsidRPr="007248B9">
        <w:rPr>
          <w:rStyle w:val="FootnoteReference"/>
          <w:sz w:val="23"/>
          <w:szCs w:val="23"/>
        </w:rPr>
        <w:footnoteReference w:id="1"/>
      </w:r>
      <w:r w:rsidRPr="007248B9">
        <w:rPr>
          <w:sz w:val="23"/>
          <w:szCs w:val="23"/>
        </w:rPr>
        <w:t xml:space="preserve"> 2021.–2027.gada plānošanas perioda darbības programmā (turpmāk – DP 2021.–2027.gadam) paredzēts finansējums gan nodarbinātības jomā, gan sociālajā uzņēmējdarbībā lūdzam nodrošināt šo aktivitāšu nepārklāšanos ar programmas projektā plānoto. </w:t>
      </w:r>
    </w:p>
    <w:p w14:paraId="40EC0D49" w14:textId="033A4165" w:rsidR="001B59B6" w:rsidRPr="007248B9" w:rsidRDefault="001B59B6" w:rsidP="001B59B6">
      <w:pPr>
        <w:numPr>
          <w:ilvl w:val="0"/>
          <w:numId w:val="1"/>
        </w:numPr>
        <w:rPr>
          <w:sz w:val="23"/>
          <w:szCs w:val="23"/>
          <w:lang w:eastAsia="lv-LV"/>
        </w:rPr>
      </w:pPr>
      <w:r w:rsidRPr="007248B9">
        <w:rPr>
          <w:sz w:val="23"/>
          <w:szCs w:val="23"/>
          <w:lang w:eastAsia="lv-LV"/>
        </w:rPr>
        <w:t xml:space="preserve">Lūdzam papildināt programmas projektu ar informāciju attiecībā uz tā papildinātību ar Eiropas Savienības struktūrfondu un Kohēzijas fonda </w:t>
      </w:r>
      <w:r w:rsidRPr="007248B9">
        <w:rPr>
          <w:sz w:val="23"/>
          <w:szCs w:val="23"/>
        </w:rPr>
        <w:t xml:space="preserve">darbības programmas </w:t>
      </w:r>
      <w:r w:rsidRPr="007248B9">
        <w:rPr>
          <w:sz w:val="23"/>
          <w:szCs w:val="23"/>
        </w:rPr>
        <w:br/>
      </w:r>
      <w:r w:rsidRPr="007248B9">
        <w:rPr>
          <w:sz w:val="23"/>
          <w:szCs w:val="23"/>
        </w:rPr>
        <w:lastRenderedPageBreak/>
        <w:t xml:space="preserve">2014.–2020.gadam, </w:t>
      </w:r>
      <w:r w:rsidRPr="007248B9">
        <w:rPr>
          <w:sz w:val="23"/>
          <w:szCs w:val="23"/>
          <w:lang w:eastAsia="lv-LV"/>
        </w:rPr>
        <w:t xml:space="preserve">DP </w:t>
      </w:r>
      <w:r w:rsidRPr="007248B9">
        <w:rPr>
          <w:sz w:val="23"/>
          <w:szCs w:val="23"/>
        </w:rPr>
        <w:t>2021.–2027.gadam</w:t>
      </w:r>
      <w:r w:rsidRPr="007248B9">
        <w:rPr>
          <w:sz w:val="23"/>
          <w:szCs w:val="23"/>
          <w:lang w:eastAsia="lv-LV"/>
        </w:rPr>
        <w:t xml:space="preserve"> un Atveseļošanas un noturības mehānismā (turpmāk – ANM</w:t>
      </w:r>
      <w:r w:rsidR="00922A7C">
        <w:rPr>
          <w:sz w:val="23"/>
          <w:szCs w:val="23"/>
          <w:lang w:eastAsia="lv-LV"/>
        </w:rPr>
        <w:t>)</w:t>
      </w:r>
      <w:r w:rsidRPr="007248B9">
        <w:rPr>
          <w:sz w:val="23"/>
          <w:szCs w:val="23"/>
          <w:lang w:eastAsia="lv-LV"/>
        </w:rPr>
        <w:t xml:space="preserve"> paredzētajiem pasākumiem un investīcijām. Lūdzam norādīt, vai programmas projektā iekļautās atbalstāmās darbības un aktivitātes vismaz pastarpināti veicinās arī DP un ANM paredzēto mērķu sasniegšanu</w:t>
      </w:r>
      <w:r w:rsidR="00922A7C">
        <w:rPr>
          <w:sz w:val="23"/>
          <w:szCs w:val="23"/>
          <w:lang w:eastAsia="lv-LV"/>
        </w:rPr>
        <w:t>,</w:t>
      </w:r>
      <w:r w:rsidRPr="007248B9">
        <w:rPr>
          <w:sz w:val="23"/>
          <w:szCs w:val="23"/>
          <w:lang w:eastAsia="lv-LV"/>
        </w:rPr>
        <w:t xml:space="preserve"> un kā tiks nodrošināta demarkācija.</w:t>
      </w:r>
    </w:p>
    <w:p w14:paraId="3AC68B87" w14:textId="4F98DDB5" w:rsidR="001B59B6" w:rsidRPr="007248B9" w:rsidRDefault="001B59B6" w:rsidP="001B59B6">
      <w:pPr>
        <w:numPr>
          <w:ilvl w:val="0"/>
          <w:numId w:val="1"/>
        </w:numPr>
        <w:rPr>
          <w:sz w:val="23"/>
          <w:szCs w:val="23"/>
          <w:lang w:eastAsia="lv-LV"/>
        </w:rPr>
      </w:pPr>
      <w:r w:rsidRPr="007248B9">
        <w:rPr>
          <w:sz w:val="23"/>
          <w:szCs w:val="23"/>
          <w:lang w:eastAsia="lv-LV"/>
        </w:rPr>
        <w:t>Lūdzam precizēt programmas projekta sadaļā “Sinerģija ar citām finansēšanas programmām un mehānismiem” norādot korektu fonda nosaukumu,</w:t>
      </w:r>
      <w:r w:rsidRPr="007248B9">
        <w:rPr>
          <w:sz w:val="23"/>
          <w:szCs w:val="23"/>
        </w:rPr>
        <w:t xml:space="preserve"> </w:t>
      </w:r>
      <w:r w:rsidRPr="007248B9">
        <w:rPr>
          <w:sz w:val="23"/>
          <w:szCs w:val="23"/>
          <w:lang w:eastAsia="lv-LV"/>
        </w:rPr>
        <w:t>jo 2021.</w:t>
      </w:r>
      <w:r w:rsidRPr="007248B9">
        <w:rPr>
          <w:sz w:val="23"/>
          <w:szCs w:val="23"/>
          <w:lang w:eastAsia="lv-LV"/>
        </w:rPr>
        <w:softHyphen/>
      </w:r>
      <w:r w:rsidRPr="007248B9">
        <w:rPr>
          <w:sz w:val="23"/>
          <w:szCs w:val="23"/>
        </w:rPr>
        <w:t>–</w:t>
      </w:r>
      <w:r w:rsidRPr="007248B9">
        <w:rPr>
          <w:sz w:val="23"/>
          <w:szCs w:val="23"/>
          <w:lang w:eastAsia="lv-LV"/>
        </w:rPr>
        <w:t>2023.gada plānošanas periodā tas ir Eiropas Sociālais fonds Plus (turpmāk – ESF+).</w:t>
      </w:r>
      <w:r w:rsidR="00922A7C">
        <w:rPr>
          <w:sz w:val="23"/>
          <w:szCs w:val="23"/>
          <w:lang w:eastAsia="lv-LV"/>
        </w:rPr>
        <w:t xml:space="preserve"> </w:t>
      </w:r>
      <w:r w:rsidRPr="007248B9">
        <w:rPr>
          <w:sz w:val="23"/>
          <w:szCs w:val="23"/>
          <w:lang w:eastAsia="lv-LV"/>
        </w:rPr>
        <w:t>Vēršam uzmanību, ka saskaņā ar EIROPAS PARLAMENTA UN PADOMES (2021.gada 24.jūnija regulu (ES) 2021/1057,ar ko izveido Eiropas Sociālo fondu Plus (ESF+) un atceļ Regulu (ES) Nr.1296/2013 izveido Eiropas Sociālo fondu Plus (ESF+)</w:t>
      </w:r>
      <w:r w:rsidRPr="007248B9">
        <w:rPr>
          <w:rStyle w:val="FootnoteReference"/>
          <w:sz w:val="23"/>
          <w:szCs w:val="23"/>
          <w:lang w:eastAsia="lv-LV"/>
        </w:rPr>
        <w:footnoteReference w:id="2"/>
      </w:r>
      <w:r w:rsidRPr="007248B9">
        <w:rPr>
          <w:sz w:val="23"/>
          <w:szCs w:val="23"/>
          <w:lang w:eastAsia="lv-LV"/>
        </w:rPr>
        <w:t xml:space="preserve">, kas sastāv no divām sadaļām: dalīti pārvaldītās sadaļas (“dalīti pārvaldītā ESF+ sadaļa”) un Nodarbinātības un sociālās inovācijas sadaļas (“EaSI sadaļa”). </w:t>
      </w:r>
    </w:p>
    <w:p w14:paraId="6DE383FF" w14:textId="77777777" w:rsidR="001B59B6" w:rsidRPr="007248B9" w:rsidRDefault="001B59B6" w:rsidP="001B59B6">
      <w:pPr>
        <w:numPr>
          <w:ilvl w:val="0"/>
          <w:numId w:val="1"/>
        </w:numPr>
        <w:rPr>
          <w:sz w:val="23"/>
          <w:szCs w:val="23"/>
          <w:lang w:eastAsia="lv-LV"/>
        </w:rPr>
      </w:pPr>
      <w:r w:rsidRPr="007248B9">
        <w:rPr>
          <w:sz w:val="23"/>
          <w:szCs w:val="23"/>
        </w:rPr>
        <w:t xml:space="preserve">Ņemot vērā </w:t>
      </w:r>
      <w:r w:rsidRPr="007248B9">
        <w:rPr>
          <w:sz w:val="23"/>
          <w:szCs w:val="23"/>
          <w:shd w:val="clear" w:color="auto" w:fill="FFFFFF"/>
        </w:rPr>
        <w:t xml:space="preserve">Eiropas Parlamenta un Padomes 2021.gada 24.jūnija regulas </w:t>
      </w:r>
      <w:r w:rsidRPr="007248B9">
        <w:rPr>
          <w:sz w:val="23"/>
          <w:szCs w:val="23"/>
        </w:rPr>
        <w:t>Nr.2021/1059</w:t>
      </w:r>
      <w:r w:rsidRPr="007248B9">
        <w:rPr>
          <w:sz w:val="23"/>
          <w:szCs w:val="23"/>
          <w:shd w:val="clear" w:color="auto" w:fill="FFFFFF"/>
        </w:rPr>
        <w:t xml:space="preserve"> </w:t>
      </w:r>
      <w:r w:rsidRPr="007248B9">
        <w:rPr>
          <w:i/>
          <w:iCs/>
          <w:sz w:val="23"/>
          <w:szCs w:val="23"/>
          <w:shd w:val="clear" w:color="auto" w:fill="FFFFFF"/>
        </w:rPr>
        <w:t>par īpašiem noteikumiem attiecībā uz Eiropas teritoriālās sadar</w:t>
      </w:r>
      <w:r w:rsidRPr="007248B9">
        <w:rPr>
          <w:i/>
          <w:iCs/>
          <w:sz w:val="23"/>
          <w:szCs w:val="23"/>
        </w:rPr>
        <w:t>bības mērķi (Interreg), kas saņem atbalstu no Eiropas Reģionālās attīstības fonda un ārējās finansēšanas instrumentiem</w:t>
      </w:r>
      <w:r w:rsidRPr="007248B9">
        <w:rPr>
          <w:sz w:val="23"/>
          <w:szCs w:val="23"/>
        </w:rPr>
        <w:t xml:space="preserve"> 3.apsvērumā minēto, kā arī to, ka daļai plānoto projektu būtu jāveic izvērtējums atbilstoši komercdarbības atbalsta normām, lūdzam programmas projektā, tā kopsavilkumā un anotācijā iekļaut informāciju, ka jebkāda veida valsts atbalsts, kas varētu tikt sniegts šīs programmas ietvaros, būs atbilstošs valsts atbalsta procesuālajiem un materiāltiesiskajiem noteikumiem, kas piemērojami laikā, kad tiek piešķirts valsts atbalsts, kā arī noteikt atbildīgo Latvijas iestādi, kas veiks atbilstošo izvērtējumu un veiks komercdarbības atbalsta normu piemērošanu un uzraudzību.</w:t>
      </w:r>
    </w:p>
    <w:p w14:paraId="4C4BB231" w14:textId="77777777" w:rsidR="001B59B6" w:rsidRPr="007248B9" w:rsidRDefault="001B59B6" w:rsidP="001B59B6">
      <w:pPr>
        <w:pStyle w:val="ListParagraph"/>
        <w:numPr>
          <w:ilvl w:val="0"/>
          <w:numId w:val="1"/>
        </w:numPr>
        <w:spacing w:after="0" w:line="240" w:lineRule="auto"/>
        <w:ind w:left="714" w:hanging="357"/>
        <w:jc w:val="both"/>
        <w:rPr>
          <w:rFonts w:eastAsia="Times New Roman"/>
          <w:sz w:val="23"/>
          <w:szCs w:val="23"/>
          <w:lang w:eastAsia="lv-LV"/>
        </w:rPr>
      </w:pPr>
      <w:r w:rsidRPr="007248B9">
        <w:rPr>
          <w:rFonts w:eastAsia="Times New Roman"/>
          <w:sz w:val="23"/>
          <w:szCs w:val="23"/>
          <w:lang w:eastAsia="lv-LV"/>
        </w:rPr>
        <w:t>Lūdzam anotācijas I sadaļas “</w:t>
      </w:r>
      <w:r w:rsidRPr="007248B9">
        <w:rPr>
          <w:sz w:val="23"/>
          <w:szCs w:val="23"/>
        </w:rPr>
        <w:t>Tiesību akta projekta izstrādes nepieciešamība” 2.punktā “Pašreizējā situācija un problēmas, kuru risināšanai tiesību akta projekts izstrādāts, tiesiskā regulējuma mērķis un būtība” neiekļaut CFLA kā nacionālās apakškomitejas pārstāvi, vienlaikus CFLA</w:t>
      </w:r>
      <w:r w:rsidRPr="007248B9">
        <w:rPr>
          <w:rFonts w:eastAsia="Times New Roman"/>
          <w:sz w:val="23"/>
          <w:szCs w:val="23"/>
          <w:lang w:eastAsia="lv-LV"/>
        </w:rPr>
        <w:t xml:space="preserve"> neiebilst arī turpmāk sniegt nepieciešamo informāciju par iespējamiem riskiem saistībā ar projektu pārklāšanos ar citu nacionālo vai starptautisko programmu projektiem pēc VARAM pieprasījuma. </w:t>
      </w:r>
    </w:p>
    <w:p w14:paraId="0EFFD2A7" w14:textId="77777777" w:rsidR="001B59B6" w:rsidRPr="007248B9" w:rsidRDefault="001B59B6" w:rsidP="001B59B6">
      <w:pPr>
        <w:numPr>
          <w:ilvl w:val="0"/>
          <w:numId w:val="1"/>
        </w:numPr>
        <w:rPr>
          <w:sz w:val="23"/>
          <w:szCs w:val="23"/>
          <w:lang w:eastAsia="lv-LV"/>
        </w:rPr>
      </w:pPr>
      <w:r w:rsidRPr="007248B9">
        <w:rPr>
          <w:sz w:val="23"/>
          <w:szCs w:val="23"/>
        </w:rPr>
        <w:t xml:space="preserve">Lūdzam programmas projekta kopsavilkumā un anotācijas III sadaļā “Tiesību akta projekta ietekme uz valsts budžetu un pašvaldību budžetiem” (turpmāk – III sadaļa) precizēt vai skaidrot norādīto Eiropas Reģionālā attīstības fonda finansējumu 126 600 000 </w:t>
      </w:r>
      <w:r w:rsidRPr="007248B9">
        <w:rPr>
          <w:i/>
          <w:iCs/>
          <w:sz w:val="23"/>
          <w:szCs w:val="23"/>
        </w:rPr>
        <w:t>euro</w:t>
      </w:r>
      <w:r w:rsidRPr="007248B9">
        <w:rPr>
          <w:sz w:val="23"/>
          <w:szCs w:val="23"/>
        </w:rPr>
        <w:t xml:space="preserve">, ņemot vērā, ka tas nesakrīt ar programmas projekta 3.2.sadaļā norādīto 126 788 865 </w:t>
      </w:r>
      <w:r w:rsidRPr="007248B9">
        <w:rPr>
          <w:i/>
          <w:iCs/>
          <w:sz w:val="23"/>
          <w:szCs w:val="23"/>
        </w:rPr>
        <w:t>euro</w:t>
      </w:r>
      <w:r w:rsidRPr="007248B9">
        <w:rPr>
          <w:sz w:val="23"/>
          <w:szCs w:val="23"/>
        </w:rPr>
        <w:t xml:space="preserve">. </w:t>
      </w:r>
    </w:p>
    <w:p w14:paraId="074103C6" w14:textId="77777777" w:rsidR="001B59B6" w:rsidRPr="007248B9" w:rsidRDefault="001B59B6" w:rsidP="001B59B6">
      <w:pPr>
        <w:pStyle w:val="ListParagraph"/>
        <w:numPr>
          <w:ilvl w:val="0"/>
          <w:numId w:val="1"/>
        </w:numPr>
        <w:spacing w:line="240" w:lineRule="auto"/>
        <w:jc w:val="both"/>
        <w:rPr>
          <w:sz w:val="23"/>
          <w:szCs w:val="23"/>
        </w:rPr>
      </w:pPr>
      <w:r w:rsidRPr="007248B9">
        <w:rPr>
          <w:sz w:val="23"/>
          <w:szCs w:val="23"/>
        </w:rPr>
        <w:t xml:space="preserve">Lūdzam programmas projekta kopsavilkumā un anotācijas III sadaļā sniegt informāciju par valsts līdzfinansējumu, par kuru norādīta informācija programmas projekta 3.2.sadaļā, norādot plānoto finansējuma sadalījumu valsts publiskajā un valsts privātajā finansējumā, kā arī sniedzot skaidrojumu, cik liela daļa no valsts publiskā finansējuma plānota kā valsts budžeta dotācija un kādiem projektu īstenotājiem, cik liela daļa no valsts publiskā finansējuma plānota kā pašvaldību budžeta finansējums, cik liela daļa no valsts publiskā finansējuma plānota kā cita veida publiskais finansējums. </w:t>
      </w:r>
    </w:p>
    <w:p w14:paraId="643A71C2" w14:textId="77777777" w:rsidR="001B59B6" w:rsidRPr="007248B9" w:rsidRDefault="001B59B6" w:rsidP="001B59B6">
      <w:pPr>
        <w:pStyle w:val="ListParagraph"/>
        <w:numPr>
          <w:ilvl w:val="0"/>
          <w:numId w:val="1"/>
        </w:numPr>
        <w:spacing w:line="240" w:lineRule="auto"/>
        <w:jc w:val="both"/>
        <w:rPr>
          <w:color w:val="FF0000"/>
          <w:sz w:val="23"/>
          <w:szCs w:val="23"/>
        </w:rPr>
      </w:pPr>
      <w:r w:rsidRPr="007248B9">
        <w:rPr>
          <w:sz w:val="23"/>
          <w:szCs w:val="23"/>
        </w:rPr>
        <w:t xml:space="preserve">Lūdzam skaidrot programmas projekta kopsavilkumā pēdējā rindkopā sniegto informāciju, ievērojot, ka FM rīcībā nav informācija, ka VARAM būtu iesniegusi šādu prioritārā pasākuma pieteikumu. Lūdzam izvērtēt, vai minētais maksājums nav uzskatāms kā programmas projekta nacionālais līdzfinansējums valsts publiskā līdzfinansējuma ietvaros un attiecīgi programmas projekta apstiprināšanas gadījumā pieprasāms no 74.resorsa “Gadskārtējā valsts budžeta izpildes procesā pārdalāmais finansējums” 80.00.00. programmas “Nesadalītais finansējums Eiropas Savienības politiku instrumentu un pārējās ārvalstu finanšu palīdzības līdzfinansēto projektu un pasākumu īstenošanai”, attiecīgi svītrojot programmas projekta kopsavilkumā pēdējā rindkopā sniegto informāciju. </w:t>
      </w:r>
    </w:p>
    <w:p w14:paraId="312B0D79" w14:textId="77777777" w:rsidR="001B59B6" w:rsidRPr="007248B9" w:rsidRDefault="001B59B6" w:rsidP="001B59B6">
      <w:pPr>
        <w:pStyle w:val="ListParagraph"/>
        <w:numPr>
          <w:ilvl w:val="0"/>
          <w:numId w:val="1"/>
        </w:numPr>
        <w:spacing w:line="240" w:lineRule="auto"/>
        <w:jc w:val="both"/>
        <w:rPr>
          <w:sz w:val="23"/>
          <w:szCs w:val="23"/>
        </w:rPr>
      </w:pPr>
      <w:r w:rsidRPr="007248B9">
        <w:rPr>
          <w:sz w:val="23"/>
          <w:szCs w:val="23"/>
        </w:rPr>
        <w:t>Lūdzam anotācijas III sadaļā:</w:t>
      </w:r>
    </w:p>
    <w:p w14:paraId="5BB0A74F" w14:textId="77777777" w:rsidR="001B59B6" w:rsidRPr="007248B9" w:rsidRDefault="001B59B6" w:rsidP="001B59B6">
      <w:pPr>
        <w:pStyle w:val="ListParagraph"/>
        <w:numPr>
          <w:ilvl w:val="0"/>
          <w:numId w:val="3"/>
        </w:numPr>
        <w:spacing w:line="240" w:lineRule="auto"/>
        <w:ind w:left="1276"/>
        <w:jc w:val="both"/>
        <w:rPr>
          <w:sz w:val="23"/>
          <w:szCs w:val="23"/>
        </w:rPr>
      </w:pPr>
      <w:r w:rsidRPr="007248B9">
        <w:rPr>
          <w:sz w:val="23"/>
          <w:szCs w:val="23"/>
        </w:rPr>
        <w:t xml:space="preserve">4.1. ailē “turpmākie trīs gadi” aiļu nosaukumos “Izmaiņas, salīdzinot ar vidēja termiņa budžeta ietvaru” precizēt “n+1” un “n+2” vērtības, to vietā norādot attiecīgos gadus, ņemot vērā MK 2009.gada 15.decembra instrukcijas Nr.19 “Tiesību akta projekta </w:t>
      </w:r>
      <w:r w:rsidRPr="007248B9">
        <w:rPr>
          <w:sz w:val="23"/>
          <w:szCs w:val="23"/>
        </w:rPr>
        <w:lastRenderedPageBreak/>
        <w:t>sākotnējās ietekmes izvērtēšanas kārtība” (turpmāk – instrukcija Nr.19) 32.punktā noteikto;</w:t>
      </w:r>
    </w:p>
    <w:p w14:paraId="230F5F10" w14:textId="77777777" w:rsidR="001B59B6" w:rsidRPr="007248B9" w:rsidRDefault="001B59B6" w:rsidP="001B59B6">
      <w:pPr>
        <w:pStyle w:val="ListParagraph"/>
        <w:numPr>
          <w:ilvl w:val="0"/>
          <w:numId w:val="3"/>
        </w:numPr>
        <w:spacing w:line="240" w:lineRule="auto"/>
        <w:ind w:left="1276"/>
        <w:jc w:val="both"/>
        <w:rPr>
          <w:sz w:val="23"/>
          <w:szCs w:val="23"/>
        </w:rPr>
      </w:pPr>
      <w:r w:rsidRPr="007248B9">
        <w:rPr>
          <w:sz w:val="23"/>
          <w:szCs w:val="23"/>
        </w:rPr>
        <w:t>4.2. 1.–5.punktā precizēt informāciju atbilstoši instrukcijas Nr.19 IV nodaļā noteiktajam, t.sk. aizpildīt 5.punktu un tā apakšpunktus, 1.2., 2.2., 3.2., 5.2. apakšpunktos norādīt “0”, kā arī, ievērojot, ka programmas projekts ir jauns, ailēs “Saskaņā ar vidēja termiņa budžeta ietvaru” vārdus “Nav precīzi aprēķināms” aizstāt ar “0”;</w:t>
      </w:r>
    </w:p>
    <w:p w14:paraId="1FBEA8BB" w14:textId="77777777" w:rsidR="001B59B6" w:rsidRPr="007248B9" w:rsidRDefault="001B59B6" w:rsidP="001B59B6">
      <w:pPr>
        <w:pStyle w:val="ListParagraph"/>
        <w:numPr>
          <w:ilvl w:val="0"/>
          <w:numId w:val="3"/>
        </w:numPr>
        <w:spacing w:line="240" w:lineRule="auto"/>
        <w:ind w:left="1276"/>
        <w:jc w:val="both"/>
        <w:rPr>
          <w:sz w:val="23"/>
          <w:szCs w:val="23"/>
        </w:rPr>
      </w:pPr>
      <w:r w:rsidRPr="007248B9">
        <w:rPr>
          <w:sz w:val="23"/>
          <w:szCs w:val="23"/>
        </w:rPr>
        <w:t>4.3. ievērojot, ka ir zināms programmas projekta kopējais finansējums, lūdzam izvērtēt, vai tiešām izdevumu sadalījumu pa gadiem nav iespējams prognozēt, ņemot vērā pieņēmumus par programmas projekta ieviešanas gaitu, un attiecīgi precizēt izmaiņu ailēs 1., 2., 3., 5.punktā un 1.1., 1.3., 2.1., 2.3., 3.1., 3.3., 5.1. un 5.3.apakšpunktos sniegto informāciju un aizpildīt 6.punktu, skaidrojot šos pieņēmumus (ja no VARAM puses izmaiņu ailēs tiek saglabātas norādes “Nav precīzi aprēķināms” lūdzam 8.punktā skaidrot, kādēļ ietekme uz valsts budžetu šobrīd nav precīzi aprēķināma);</w:t>
      </w:r>
    </w:p>
    <w:p w14:paraId="705BBF15" w14:textId="77777777" w:rsidR="001B59B6" w:rsidRPr="007248B9" w:rsidRDefault="001B59B6" w:rsidP="001B59B6">
      <w:pPr>
        <w:pStyle w:val="ListParagraph"/>
        <w:numPr>
          <w:ilvl w:val="0"/>
          <w:numId w:val="3"/>
        </w:numPr>
        <w:spacing w:line="240" w:lineRule="auto"/>
        <w:ind w:left="1276"/>
        <w:jc w:val="both"/>
        <w:rPr>
          <w:sz w:val="23"/>
          <w:szCs w:val="23"/>
        </w:rPr>
      </w:pPr>
      <w:r w:rsidRPr="007248B9">
        <w:rPr>
          <w:sz w:val="23"/>
          <w:szCs w:val="23"/>
        </w:rPr>
        <w:t xml:space="preserve">4.4. 8.punktā svītrot 4.rindkopu un precizēt 5.rindkopu, to papildinot ar norādi, kurā VARAM budžeta apakšprogrammā finansējums pēc līdzekļu pārdales no 80.00.00 programmas tiks plānots (vēršam uzmanību, ka jaunam plānošanas periodam jāizveido jauna apakšprogramma saskaņā ar MK 2012.gada 31.jūlija noteikumu Nr.523 “Noteikumi par budžeta pieprasījumu izstrādāšanas un iesniegšanas pamatprincipiem” 15.9.apakšpunktā noteikto, attiecīgi finansējuma plānošana nav saglabājama VARAM budžeta apakšprogrammā 69.08.00, kuras nosaukums ir “Pārrobežu sadarbības programmu darbības nodrošināšana, projekti un pasākumi (2014-2020)”). </w:t>
      </w:r>
    </w:p>
    <w:p w14:paraId="0ABE8ED4" w14:textId="77777777" w:rsidR="001B59B6" w:rsidRPr="007248B9" w:rsidRDefault="001B59B6" w:rsidP="001B59B6">
      <w:pPr>
        <w:rPr>
          <w:sz w:val="23"/>
          <w:szCs w:val="23"/>
        </w:rPr>
      </w:pPr>
      <w:r w:rsidRPr="007248B9">
        <w:rPr>
          <w:sz w:val="23"/>
          <w:szCs w:val="23"/>
        </w:rPr>
        <w:t>Priekšlikumi.</w:t>
      </w:r>
    </w:p>
    <w:p w14:paraId="4B7A1AC7" w14:textId="77777777" w:rsidR="001B59B6" w:rsidRPr="007248B9" w:rsidRDefault="001B59B6" w:rsidP="001B59B6">
      <w:pPr>
        <w:numPr>
          <w:ilvl w:val="0"/>
          <w:numId w:val="2"/>
        </w:numPr>
        <w:spacing w:after="160"/>
        <w:contextualSpacing/>
        <w:rPr>
          <w:sz w:val="23"/>
          <w:szCs w:val="23"/>
        </w:rPr>
      </w:pPr>
      <w:r w:rsidRPr="007248B9">
        <w:rPr>
          <w:sz w:val="23"/>
          <w:szCs w:val="23"/>
        </w:rPr>
        <w:t>Lūdzam precizēt programmas projekta sadaļā “Ievads” 4.rindkopā terminu “sociālajai iekļautībai” aizstājot to ar vārdiem “sociālajai iekļaušanai”, tādējādi nodrošinot latviešu valodas labskanību.</w:t>
      </w:r>
    </w:p>
    <w:p w14:paraId="2662343D" w14:textId="77777777" w:rsidR="001B59B6" w:rsidRPr="007248B9" w:rsidRDefault="001B59B6" w:rsidP="001B59B6">
      <w:pPr>
        <w:numPr>
          <w:ilvl w:val="0"/>
          <w:numId w:val="2"/>
        </w:numPr>
        <w:spacing w:after="160"/>
        <w:contextualSpacing/>
        <w:rPr>
          <w:sz w:val="23"/>
          <w:szCs w:val="23"/>
        </w:rPr>
      </w:pPr>
      <w:r w:rsidRPr="007248B9">
        <w:rPr>
          <w:sz w:val="23"/>
          <w:szCs w:val="23"/>
        </w:rPr>
        <w:t xml:space="preserve"> Lūdzam precizēt programmas projekta sadaļā pie 2.politikas mērķa “Vide” un vārdu savienojumu “atkritumu pārstrādājamība” aizstāt ar vārdiem “atkritumu pārstrādāšana”. </w:t>
      </w:r>
    </w:p>
    <w:p w14:paraId="207AC9E0" w14:textId="77777777" w:rsidR="001B59B6" w:rsidRPr="007248B9" w:rsidRDefault="001B59B6" w:rsidP="001B59B6">
      <w:pPr>
        <w:numPr>
          <w:ilvl w:val="0"/>
          <w:numId w:val="2"/>
        </w:numPr>
        <w:spacing w:after="160"/>
        <w:contextualSpacing/>
        <w:rPr>
          <w:sz w:val="23"/>
          <w:szCs w:val="23"/>
        </w:rPr>
      </w:pPr>
      <w:r w:rsidRPr="007248B9">
        <w:rPr>
          <w:sz w:val="23"/>
          <w:szCs w:val="23"/>
        </w:rPr>
        <w:t xml:space="preserve">Lūdzam papildināt programmas projekta sadaļas “Darba tirgus (Politikas mērķis 4)” 1.teikumu, norādot precīzāk, kur nodarbinātības situācija ir attīstījusies. Gadījumā ja ar šo domāts Baltijas jūras reģiona valstīs, tad attiecīgi lūdzam arī norādīt. </w:t>
      </w:r>
    </w:p>
    <w:p w14:paraId="219F5551" w14:textId="77777777" w:rsidR="001B59B6" w:rsidRPr="007248B9" w:rsidRDefault="001B59B6" w:rsidP="001B59B6">
      <w:pPr>
        <w:numPr>
          <w:ilvl w:val="0"/>
          <w:numId w:val="2"/>
        </w:numPr>
        <w:spacing w:after="160"/>
        <w:contextualSpacing/>
        <w:rPr>
          <w:sz w:val="23"/>
          <w:szCs w:val="23"/>
        </w:rPr>
      </w:pPr>
      <w:r w:rsidRPr="007248B9">
        <w:rPr>
          <w:sz w:val="23"/>
          <w:szCs w:val="23"/>
        </w:rPr>
        <w:t xml:space="preserve">Atkāroti lūdzam precizēt programmas projekta apakšnodaļas “Sinerģija ar makroreģionālo un jūras baseina stratēģiju” 1.rindkopu, precīzi norādot, kurus tieši septiņus no deviņiem ESSBJR apakšmērķiem sasniegšanu programmas projekts veicina. Gadījumā, ja minētie septiņi apakšmērķi ir norādīti 1.2.6.apakšnodaļas 2.rindkopā, tad vēršam uzmanību, ka tur ir norādīti astoņi apakšmērķi un viens no tiem (PA Barības vielas) </w:t>
      </w:r>
      <w:r w:rsidRPr="007248B9">
        <w:rPr>
          <w:bCs/>
          <w:sz w:val="23"/>
          <w:szCs w:val="23"/>
        </w:rPr>
        <w:t xml:space="preserve">nav </w:t>
      </w:r>
      <w:r w:rsidRPr="007248B9">
        <w:rPr>
          <w:sz w:val="23"/>
          <w:szCs w:val="23"/>
        </w:rPr>
        <w:t>ESSBJR apakšmērķis. Papildus vēršam uzmanību, ka ESSBJR paredz 14 apakšmērķus</w:t>
      </w:r>
      <w:r w:rsidRPr="007248B9">
        <w:rPr>
          <w:rStyle w:val="FootnoteReference"/>
          <w:sz w:val="23"/>
          <w:szCs w:val="23"/>
        </w:rPr>
        <w:footnoteReference w:customMarkFollows="1" w:id="3"/>
        <w:t>[1]</w:t>
      </w:r>
      <w:r w:rsidRPr="007248B9">
        <w:rPr>
          <w:sz w:val="23"/>
          <w:szCs w:val="23"/>
        </w:rPr>
        <w:t xml:space="preserve"> (angliski: </w:t>
      </w:r>
      <w:r w:rsidRPr="007248B9">
        <w:rPr>
          <w:i/>
          <w:iCs/>
          <w:sz w:val="23"/>
          <w:szCs w:val="23"/>
        </w:rPr>
        <w:t>PA Nutri, PA Hazards, PA Bio-economy, PA Ship, PA Safe, PA Transport, PA Energy, PA Spatial Planning, PA Secure, PA Tourism, PA Culture, PA Innovation, PA Health and PA Education</w:t>
      </w:r>
      <w:r w:rsidRPr="007248B9">
        <w:rPr>
          <w:sz w:val="23"/>
          <w:szCs w:val="23"/>
        </w:rPr>
        <w:t xml:space="preserve">). </w:t>
      </w:r>
    </w:p>
    <w:p w14:paraId="7898CE14" w14:textId="77777777" w:rsidR="001B59B6" w:rsidRPr="007248B9" w:rsidRDefault="001B59B6" w:rsidP="001B59B6">
      <w:pPr>
        <w:numPr>
          <w:ilvl w:val="0"/>
          <w:numId w:val="2"/>
        </w:numPr>
        <w:spacing w:after="160"/>
        <w:contextualSpacing/>
        <w:rPr>
          <w:sz w:val="23"/>
          <w:szCs w:val="23"/>
        </w:rPr>
      </w:pPr>
      <w:r w:rsidRPr="007248B9">
        <w:rPr>
          <w:sz w:val="23"/>
          <w:szCs w:val="23"/>
        </w:rPr>
        <w:t>Lūdzam precizēt programmas projekta apakšnodaļas “Sinerģija ar makroreģionālo un jūras baseina stratēģiju” 3.rindkopu, norādot kas tiek saprasts ar vārdiem “</w:t>
      </w:r>
      <w:r w:rsidRPr="007248B9">
        <w:rPr>
          <w:i/>
          <w:iCs/>
          <w:sz w:val="23"/>
          <w:szCs w:val="23"/>
        </w:rPr>
        <w:t>Programmas politikas mērķa Nr. 2</w:t>
      </w:r>
      <w:r w:rsidRPr="007248B9">
        <w:rPr>
          <w:sz w:val="23"/>
          <w:szCs w:val="23"/>
        </w:rPr>
        <w:t>”. Ja tiek domāta Centrālā Baltijas jūras reģiona programma, 2.politikas mērķis “Vide”, tad attiecīgi lūdzam norādīt. Papildus lūdzam nosaukt un papildināt ar tām divām aktivitātēm, kuras plānot finansēt.</w:t>
      </w:r>
    </w:p>
    <w:p w14:paraId="1926C450" w14:textId="77777777" w:rsidR="001B59B6" w:rsidRPr="007248B9" w:rsidRDefault="001B59B6" w:rsidP="001B59B6">
      <w:pPr>
        <w:numPr>
          <w:ilvl w:val="0"/>
          <w:numId w:val="2"/>
        </w:numPr>
        <w:spacing w:after="160"/>
        <w:contextualSpacing/>
        <w:rPr>
          <w:sz w:val="23"/>
          <w:szCs w:val="23"/>
        </w:rPr>
      </w:pPr>
      <w:r w:rsidRPr="007248B9">
        <w:rPr>
          <w:sz w:val="23"/>
          <w:szCs w:val="23"/>
        </w:rPr>
        <w:t xml:space="preserve">Lūdzam precizēt programmas projekta 2.4.1.nodaļu “Programmas mērķis 7: Uzlaboti publiskie pakalpojumi un risinājumi pilsoņiem”, norādot kuru ESSBJR politikas jomu īstenošanu šī prioritāte veicinās. Informējam, ka ESSBJR Rīcības plāns kopumā ietver 14 politikas jomas. </w:t>
      </w:r>
    </w:p>
    <w:p w14:paraId="7F45EC07" w14:textId="77777777" w:rsidR="001B59B6" w:rsidRPr="007248B9" w:rsidRDefault="001B59B6" w:rsidP="001B59B6">
      <w:pPr>
        <w:numPr>
          <w:ilvl w:val="0"/>
          <w:numId w:val="2"/>
        </w:numPr>
        <w:spacing w:after="160"/>
        <w:contextualSpacing/>
        <w:rPr>
          <w:sz w:val="23"/>
          <w:szCs w:val="23"/>
        </w:rPr>
      </w:pPr>
      <w:r w:rsidRPr="007248B9">
        <w:rPr>
          <w:sz w:val="23"/>
          <w:szCs w:val="23"/>
        </w:rPr>
        <w:t>Lūdzam precizēt programmas projekta sadaļā “Pagātnē gūtās atziņas” 1.teikumā minēto: “</w:t>
      </w:r>
      <w:r w:rsidRPr="007248B9">
        <w:rPr>
          <w:i/>
          <w:iCs/>
          <w:sz w:val="23"/>
          <w:szCs w:val="23"/>
        </w:rPr>
        <w:t>Programma balstīta uz noteikumiem…</w:t>
      </w:r>
      <w:r w:rsidRPr="007248B9">
        <w:rPr>
          <w:sz w:val="23"/>
          <w:szCs w:val="23"/>
        </w:rPr>
        <w:t xml:space="preserve">” detalizētāk norādot, kas tiek saprasts ar vārdu “noteikumiem” – Ministru kabineta noteikumi, vispārējie programmas noteikumi vai kas cits. </w:t>
      </w:r>
    </w:p>
    <w:p w14:paraId="387CC6DF" w14:textId="77777777" w:rsidR="001B59B6" w:rsidRPr="007248B9" w:rsidRDefault="001B59B6" w:rsidP="001B59B6">
      <w:pPr>
        <w:numPr>
          <w:ilvl w:val="0"/>
          <w:numId w:val="2"/>
        </w:numPr>
        <w:spacing w:after="160"/>
        <w:contextualSpacing/>
        <w:rPr>
          <w:sz w:val="23"/>
          <w:szCs w:val="23"/>
        </w:rPr>
      </w:pPr>
      <w:r w:rsidRPr="007248B9">
        <w:rPr>
          <w:sz w:val="23"/>
          <w:szCs w:val="23"/>
        </w:rPr>
        <w:t xml:space="preserve">Lūdzam nodrošināt, ka programmas projekta 1.politikas mērķa “Veicināt ilgtspējīgu MVU izaugsmi un konkurētspēju un darbvietu radīšanu MVU, tostarp ar produktīvām investīcijām” projekti tiek saskaņoti arī ar Latvijas Investīciju un attīstības aģentūras (turpmāk – LIAA), </w:t>
      </w:r>
      <w:r w:rsidRPr="007248B9">
        <w:rPr>
          <w:sz w:val="23"/>
          <w:szCs w:val="23"/>
        </w:rPr>
        <w:lastRenderedPageBreak/>
        <w:t>ņemot vērā Ministru kabineta 2012.gada 11.decembra noteikumu Nr.857 “Latvijas Investīciju un attīstības aģentūras nolikums” 3.punktā noteikto LIAA mērķi (sekmēt Latvijas uzņēmumu konkurētspēju un eksportspēju starptautiskajos tirgos, veicināt zināšanu ietilpīgu preču un pakalpojumu attīstību un eksportu, veicināt ārvalstu investīciju apjoma pieaugumu, īstenot tūrisma attīstības valsts politiku un valsts politiku inovāciju jomā un veicināt Latvijas pozitīvu starptautisko atpazīstamību).</w:t>
      </w:r>
    </w:p>
    <w:p w14:paraId="25E63C72" w14:textId="77777777" w:rsidR="001B59B6" w:rsidRPr="007248B9" w:rsidRDefault="001B59B6" w:rsidP="001B59B6">
      <w:pPr>
        <w:numPr>
          <w:ilvl w:val="0"/>
          <w:numId w:val="2"/>
        </w:numPr>
        <w:spacing w:after="160"/>
        <w:contextualSpacing/>
        <w:rPr>
          <w:sz w:val="23"/>
          <w:szCs w:val="23"/>
        </w:rPr>
      </w:pPr>
      <w:r w:rsidRPr="007248B9">
        <w:rPr>
          <w:sz w:val="23"/>
          <w:szCs w:val="23"/>
          <w:lang w:eastAsia="lv-LV"/>
        </w:rPr>
        <w:t xml:space="preserve">Lūdzam kopsavilkuma 1.punkta “Risināmā jautājuma būtība” 2.un 3.apakšpunktā pārcelt vārdu “regulai” aiz skaitļa un vārda “24.jūnija”. </w:t>
      </w:r>
    </w:p>
    <w:p w14:paraId="0CA99651" w14:textId="77777777" w:rsidR="001B59B6" w:rsidRPr="007248B9" w:rsidRDefault="001B59B6" w:rsidP="001B59B6">
      <w:pPr>
        <w:numPr>
          <w:ilvl w:val="0"/>
          <w:numId w:val="2"/>
        </w:numPr>
        <w:spacing w:after="160"/>
        <w:contextualSpacing/>
        <w:rPr>
          <w:sz w:val="23"/>
          <w:szCs w:val="23"/>
        </w:rPr>
      </w:pPr>
      <w:r w:rsidRPr="007248B9">
        <w:rPr>
          <w:sz w:val="23"/>
          <w:szCs w:val="23"/>
          <w:lang w:eastAsia="lv-LV"/>
        </w:rPr>
        <w:t xml:space="preserve">Lūdzam izvērtēt vārda “Strukturālo” lietošanu, ja nepieciešams precizēt programmas projektu. Vēršam uzmanību, ka atbilstoši Eiropas Parlamenta un Padomes 2021.gada 24.jūnija regulai Nr.2021/1060,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Eiropas Savienības fondu 2021.–2027.gada plānošanas periodā netiek lietots termins “Struktūrfondi”. </w:t>
      </w:r>
    </w:p>
    <w:p w14:paraId="60F85E0B" w14:textId="77777777" w:rsidR="001B59B6" w:rsidRPr="007248B9" w:rsidRDefault="001B59B6" w:rsidP="001B59B6">
      <w:pPr>
        <w:numPr>
          <w:ilvl w:val="0"/>
          <w:numId w:val="2"/>
        </w:numPr>
        <w:spacing w:after="160"/>
        <w:contextualSpacing/>
        <w:rPr>
          <w:sz w:val="23"/>
          <w:szCs w:val="23"/>
        </w:rPr>
      </w:pPr>
      <w:r w:rsidRPr="007248B9">
        <w:rPr>
          <w:sz w:val="23"/>
          <w:szCs w:val="23"/>
          <w:lang w:eastAsia="lv-LV"/>
        </w:rPr>
        <w:t xml:space="preserve">Lūdzam pārskatīt attēlu novietojumu vides pārskata projekta 4.sadaļas “Esošās vides problēmas un tendences” 16. un 17.lapaspusē, ņemot vērā, ka šobrīd daļēji pazūd attēlos ietvertā informācija. </w:t>
      </w:r>
    </w:p>
    <w:p w14:paraId="333CA3D0" w14:textId="315F42AA" w:rsidR="003F2252" w:rsidRDefault="003F2252" w:rsidP="007F3771">
      <w:pPr>
        <w:rPr>
          <w:sz w:val="23"/>
          <w:szCs w:val="23"/>
        </w:rPr>
      </w:pPr>
    </w:p>
    <w:p w14:paraId="2E8D3698" w14:textId="77777777" w:rsidR="00922A7C" w:rsidRPr="007248B9" w:rsidRDefault="00922A7C" w:rsidP="007F3771">
      <w:pPr>
        <w:rPr>
          <w:sz w:val="23"/>
          <w:szCs w:val="23"/>
        </w:rPr>
      </w:pPr>
    </w:p>
    <w:p w14:paraId="386537E8" w14:textId="258E2646" w:rsidR="00B32216" w:rsidRDefault="00922A7C" w:rsidP="00922A7C">
      <w:pPr>
        <w:ind w:firstLine="720"/>
        <w:rPr>
          <w:sz w:val="23"/>
          <w:szCs w:val="23"/>
        </w:rPr>
      </w:pPr>
      <w:r>
        <w:rPr>
          <w:sz w:val="23"/>
          <w:szCs w:val="23"/>
        </w:rPr>
        <w:t>Ar cieņu</w:t>
      </w:r>
    </w:p>
    <w:p w14:paraId="595F2019" w14:textId="77777777" w:rsidR="00922A7C" w:rsidRPr="007248B9" w:rsidRDefault="00922A7C" w:rsidP="007F3771">
      <w:pPr>
        <w:rPr>
          <w:sz w:val="23"/>
          <w:szCs w:val="23"/>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7248B9" w14:paraId="287AD5FA" w14:textId="77777777" w:rsidTr="00AA6DC1">
        <w:tc>
          <w:tcPr>
            <w:tcW w:w="4395" w:type="dxa"/>
          </w:tcPr>
          <w:p w14:paraId="1E1E94DA" w14:textId="77777777" w:rsidR="00CA6A34" w:rsidRPr="007248B9" w:rsidRDefault="001B59B6" w:rsidP="007F3771">
            <w:pPr>
              <w:rPr>
                <w:sz w:val="23"/>
                <w:szCs w:val="23"/>
              </w:rPr>
            </w:pPr>
            <w:r w:rsidRPr="007248B9">
              <w:rPr>
                <w:sz w:val="23"/>
                <w:szCs w:val="23"/>
              </w:rPr>
              <w:t>v</w:t>
            </w:r>
            <w:r w:rsidR="00CA6A34" w:rsidRPr="007248B9">
              <w:rPr>
                <w:sz w:val="23"/>
                <w:szCs w:val="23"/>
              </w:rPr>
              <w:t xml:space="preserve">alsts sekretāres vietnieks </w:t>
            </w:r>
          </w:p>
          <w:p w14:paraId="1641334F" w14:textId="77777777" w:rsidR="00AA6DC1" w:rsidRPr="007248B9" w:rsidRDefault="00CA6A34" w:rsidP="007F3771">
            <w:pPr>
              <w:rPr>
                <w:sz w:val="23"/>
                <w:szCs w:val="23"/>
              </w:rPr>
            </w:pPr>
            <w:r w:rsidRPr="007248B9">
              <w:rPr>
                <w:sz w:val="23"/>
                <w:szCs w:val="23"/>
              </w:rPr>
              <w:t>Eiropas Savienības struktūrfondu un Kohēzijas fonda jautājumos</w:t>
            </w:r>
          </w:p>
        </w:tc>
        <w:tc>
          <w:tcPr>
            <w:tcW w:w="1984" w:type="dxa"/>
          </w:tcPr>
          <w:p w14:paraId="5E5A1572" w14:textId="77777777" w:rsidR="00AA6DC1" w:rsidRPr="007248B9" w:rsidRDefault="00AA6DC1" w:rsidP="00AA6DC1">
            <w:pPr>
              <w:jc w:val="center"/>
              <w:rPr>
                <w:sz w:val="23"/>
                <w:szCs w:val="23"/>
              </w:rPr>
            </w:pPr>
            <w:bookmarkStart w:id="6" w:name="edoc_info2"/>
            <w:r w:rsidRPr="007248B9">
              <w:rPr>
                <w:sz w:val="23"/>
                <w:szCs w:val="23"/>
              </w:rPr>
              <w:t>(paraksts*)</w:t>
            </w:r>
            <w:bookmarkEnd w:id="6"/>
          </w:p>
        </w:tc>
        <w:tc>
          <w:tcPr>
            <w:tcW w:w="2977" w:type="dxa"/>
            <w:vAlign w:val="bottom"/>
          </w:tcPr>
          <w:p w14:paraId="40F595A6" w14:textId="77777777" w:rsidR="00AA6DC1" w:rsidRPr="007248B9" w:rsidRDefault="00CA6A34" w:rsidP="00483407">
            <w:pPr>
              <w:jc w:val="right"/>
              <w:rPr>
                <w:sz w:val="23"/>
                <w:szCs w:val="23"/>
              </w:rPr>
            </w:pPr>
            <w:r w:rsidRPr="007248B9">
              <w:rPr>
                <w:sz w:val="23"/>
                <w:szCs w:val="23"/>
              </w:rPr>
              <w:t>A.Eberhards</w:t>
            </w:r>
          </w:p>
        </w:tc>
      </w:tr>
      <w:tr w:rsidR="00AA6DC1" w:rsidRPr="007248B9" w14:paraId="40930E72" w14:textId="77777777" w:rsidTr="00AA6DC1">
        <w:tc>
          <w:tcPr>
            <w:tcW w:w="4395" w:type="dxa"/>
          </w:tcPr>
          <w:p w14:paraId="0B6F950A" w14:textId="77777777" w:rsidR="00AA6DC1" w:rsidRPr="007248B9" w:rsidRDefault="00AA6DC1" w:rsidP="007F3771">
            <w:pPr>
              <w:rPr>
                <w:sz w:val="23"/>
                <w:szCs w:val="23"/>
              </w:rPr>
            </w:pPr>
          </w:p>
        </w:tc>
        <w:tc>
          <w:tcPr>
            <w:tcW w:w="1984" w:type="dxa"/>
          </w:tcPr>
          <w:p w14:paraId="52B56378" w14:textId="77777777" w:rsidR="00AA6DC1" w:rsidRPr="007248B9" w:rsidRDefault="00AA6DC1" w:rsidP="000C0DD4">
            <w:pPr>
              <w:jc w:val="right"/>
              <w:rPr>
                <w:sz w:val="23"/>
                <w:szCs w:val="23"/>
              </w:rPr>
            </w:pPr>
          </w:p>
        </w:tc>
        <w:tc>
          <w:tcPr>
            <w:tcW w:w="2977" w:type="dxa"/>
            <w:vAlign w:val="bottom"/>
          </w:tcPr>
          <w:p w14:paraId="13B5CD56" w14:textId="77777777" w:rsidR="00AA6DC1" w:rsidRPr="007248B9" w:rsidRDefault="00AA6DC1" w:rsidP="000C0DD4">
            <w:pPr>
              <w:jc w:val="right"/>
              <w:rPr>
                <w:sz w:val="23"/>
                <w:szCs w:val="23"/>
              </w:rPr>
            </w:pPr>
          </w:p>
        </w:tc>
      </w:tr>
    </w:tbl>
    <w:tbl>
      <w:tblPr>
        <w:tblW w:w="8647" w:type="dxa"/>
        <w:tblLook w:val="04A0" w:firstRow="1" w:lastRow="0" w:firstColumn="1" w:lastColumn="0" w:noHBand="0" w:noVBand="1"/>
      </w:tblPr>
      <w:tblGrid>
        <w:gridCol w:w="8647"/>
      </w:tblGrid>
      <w:tr w:rsidR="002D6CB4" w:rsidRPr="007248B9" w14:paraId="1B81B434" w14:textId="77777777" w:rsidTr="00AA6DC1">
        <w:trPr>
          <w:cantSplit/>
          <w:trHeight w:val="615"/>
        </w:trPr>
        <w:tc>
          <w:tcPr>
            <w:tcW w:w="8647" w:type="dxa"/>
          </w:tcPr>
          <w:p w14:paraId="649DF9B6" w14:textId="77777777" w:rsidR="002D6CB4" w:rsidRPr="007248B9" w:rsidRDefault="00AA6DC1" w:rsidP="00AA6DC1">
            <w:pPr>
              <w:pStyle w:val="BodyTextIndent"/>
              <w:tabs>
                <w:tab w:val="left" w:pos="8397"/>
              </w:tabs>
              <w:ind w:left="0"/>
              <w:rPr>
                <w:sz w:val="23"/>
                <w:szCs w:val="23"/>
              </w:rPr>
            </w:pPr>
            <w:bookmarkStart w:id="7" w:name="edoc_info" w:colFirst="0" w:colLast="0"/>
            <w:r w:rsidRPr="007248B9">
              <w:rPr>
                <w:sz w:val="23"/>
                <w:szCs w:val="23"/>
              </w:rPr>
              <w:t>*Dokuments ir parakstīts ar drošu elektronisko parakstu</w:t>
            </w:r>
          </w:p>
        </w:tc>
      </w:tr>
      <w:bookmarkEnd w:id="7"/>
    </w:tbl>
    <w:p w14:paraId="3D5230F0" w14:textId="60ACB111" w:rsidR="00F567F9" w:rsidRPr="00922A7C" w:rsidRDefault="00F567F9" w:rsidP="00CE5D5E">
      <w:pPr>
        <w:rPr>
          <w:rFonts w:eastAsiaTheme="minorHAnsi"/>
          <w:sz w:val="6"/>
          <w:szCs w:val="6"/>
          <w:lang w:eastAsia="lv-LV"/>
        </w:rPr>
      </w:pPr>
    </w:p>
    <w:p w14:paraId="152C4E97" w14:textId="77777777" w:rsidR="00CE5D5E" w:rsidRPr="00F567F9" w:rsidRDefault="00F567F9" w:rsidP="00CE5D5E">
      <w:pPr>
        <w:rPr>
          <w:rFonts w:eastAsiaTheme="minorHAnsi"/>
          <w:sz w:val="18"/>
          <w:szCs w:val="18"/>
          <w:lang w:eastAsia="lv-LV"/>
        </w:rPr>
      </w:pPr>
      <w:r>
        <w:rPr>
          <w:rFonts w:eastAsiaTheme="minorHAnsi"/>
          <w:sz w:val="18"/>
          <w:szCs w:val="18"/>
          <w:lang w:eastAsia="lv-LV"/>
        </w:rPr>
        <w:t xml:space="preserve">    </w:t>
      </w:r>
      <w:r w:rsidR="00CE5D5E" w:rsidRPr="00F567F9">
        <w:rPr>
          <w:rFonts w:eastAsiaTheme="minorHAnsi"/>
          <w:sz w:val="18"/>
          <w:szCs w:val="18"/>
          <w:lang w:eastAsia="lv-LV"/>
        </w:rPr>
        <w:t>Eiropas Savienības fondu stratēģijas departamenta</w:t>
      </w:r>
    </w:p>
    <w:p w14:paraId="5FCFC3CE" w14:textId="77777777" w:rsidR="00CE5D5E" w:rsidRPr="00F567F9" w:rsidRDefault="00CE5D5E" w:rsidP="00CE5D5E">
      <w:pPr>
        <w:ind w:firstLine="142"/>
        <w:rPr>
          <w:rFonts w:eastAsiaTheme="minorHAnsi"/>
          <w:sz w:val="18"/>
          <w:szCs w:val="18"/>
          <w:lang w:eastAsia="lv-LV"/>
        </w:rPr>
      </w:pPr>
      <w:r w:rsidRPr="00F567F9">
        <w:rPr>
          <w:rFonts w:eastAsiaTheme="minorHAnsi"/>
          <w:sz w:val="18"/>
          <w:szCs w:val="18"/>
          <w:lang w:eastAsia="lv-LV"/>
        </w:rPr>
        <w:t xml:space="preserve"> Publisko investīciju attīstības nodaļas vecākā eksperte</w:t>
      </w:r>
    </w:p>
    <w:p w14:paraId="4097A495" w14:textId="77777777" w:rsidR="00CE5D5E" w:rsidRPr="00F567F9" w:rsidRDefault="00CE5D5E" w:rsidP="00CE5D5E">
      <w:pPr>
        <w:ind w:firstLine="142"/>
        <w:rPr>
          <w:rFonts w:eastAsiaTheme="minorHAnsi"/>
          <w:sz w:val="18"/>
          <w:szCs w:val="18"/>
          <w:lang w:eastAsia="lv-LV"/>
        </w:rPr>
      </w:pPr>
      <w:r w:rsidRPr="00F567F9">
        <w:rPr>
          <w:rFonts w:eastAsiaTheme="minorHAnsi"/>
          <w:sz w:val="18"/>
          <w:szCs w:val="18"/>
          <w:lang w:eastAsia="lv-LV"/>
        </w:rPr>
        <w:t xml:space="preserve"> Līva Zvirgzdiņa,  67083945</w:t>
      </w:r>
    </w:p>
    <w:p w14:paraId="1491AD71" w14:textId="77777777" w:rsidR="00CE5D5E" w:rsidRPr="00F567F9" w:rsidRDefault="00CE5D5E" w:rsidP="00CE5D5E">
      <w:pPr>
        <w:ind w:firstLine="142"/>
        <w:rPr>
          <w:rFonts w:eastAsiaTheme="minorHAnsi"/>
          <w:sz w:val="18"/>
          <w:szCs w:val="18"/>
          <w:lang w:eastAsia="lv-LV"/>
        </w:rPr>
      </w:pPr>
      <w:r w:rsidRPr="00F567F9">
        <w:rPr>
          <w:rFonts w:eastAsiaTheme="minorHAnsi"/>
          <w:sz w:val="18"/>
          <w:szCs w:val="18"/>
          <w:lang w:eastAsia="lv-LV"/>
        </w:rPr>
        <w:t xml:space="preserve"> </w:t>
      </w:r>
      <w:hyperlink r:id="rId8" w:history="1">
        <w:r w:rsidRPr="00F567F9">
          <w:rPr>
            <w:rStyle w:val="Hyperlink"/>
            <w:rFonts w:eastAsiaTheme="minorHAnsi"/>
            <w:sz w:val="18"/>
            <w:szCs w:val="18"/>
            <w:lang w:eastAsia="lv-LV"/>
          </w:rPr>
          <w:t>Liva.Zvirgzdina@fm.gov.lv</w:t>
        </w:r>
      </w:hyperlink>
      <w:r w:rsidRPr="00F567F9">
        <w:rPr>
          <w:rFonts w:eastAsiaTheme="minorHAnsi"/>
          <w:sz w:val="18"/>
          <w:szCs w:val="18"/>
          <w:lang w:eastAsia="lv-LV"/>
        </w:rPr>
        <w:t xml:space="preserve"> </w:t>
      </w:r>
    </w:p>
    <w:p w14:paraId="33B77C34" w14:textId="77777777" w:rsidR="00CE5D5E" w:rsidRPr="00F567F9" w:rsidRDefault="00CE5D5E" w:rsidP="00CE5D5E">
      <w:pPr>
        <w:ind w:firstLine="142"/>
        <w:rPr>
          <w:rFonts w:eastAsiaTheme="minorHAnsi"/>
          <w:sz w:val="18"/>
          <w:szCs w:val="18"/>
          <w:lang w:eastAsia="lv-LV"/>
        </w:rPr>
      </w:pPr>
    </w:p>
    <w:p w14:paraId="21249A8E" w14:textId="77777777" w:rsidR="00CE5D5E" w:rsidRPr="00F567F9" w:rsidRDefault="00CE5D5E" w:rsidP="00CE5D5E">
      <w:pPr>
        <w:rPr>
          <w:rFonts w:eastAsiaTheme="minorHAnsi"/>
          <w:sz w:val="18"/>
          <w:szCs w:val="18"/>
          <w:lang w:eastAsia="lv-LV"/>
        </w:rPr>
      </w:pPr>
      <w:r w:rsidRPr="00F567F9">
        <w:rPr>
          <w:rFonts w:eastAsiaTheme="minorHAnsi"/>
          <w:sz w:val="18"/>
          <w:szCs w:val="18"/>
          <w:lang w:eastAsia="lv-LV"/>
        </w:rPr>
        <w:t xml:space="preserve">    Eiropas Savienības fondu stratēģijas departamenta</w:t>
      </w:r>
    </w:p>
    <w:p w14:paraId="1449EDE4" w14:textId="77777777" w:rsidR="00CE5D5E" w:rsidRPr="00F567F9" w:rsidRDefault="00CE5D5E" w:rsidP="00CE5D5E">
      <w:pPr>
        <w:ind w:firstLine="142"/>
        <w:rPr>
          <w:rFonts w:eastAsiaTheme="minorHAnsi"/>
          <w:sz w:val="18"/>
          <w:szCs w:val="18"/>
          <w:lang w:eastAsia="lv-LV"/>
        </w:rPr>
      </w:pPr>
      <w:r w:rsidRPr="00F567F9">
        <w:rPr>
          <w:rFonts w:eastAsiaTheme="minorHAnsi"/>
          <w:sz w:val="18"/>
          <w:szCs w:val="18"/>
          <w:lang w:eastAsia="lv-LV"/>
        </w:rPr>
        <w:t xml:space="preserve"> Cilvēkkapitāla attīstības nodaļas vecākā eksperte</w:t>
      </w:r>
    </w:p>
    <w:p w14:paraId="7337EF0F" w14:textId="77777777" w:rsidR="00CE5D5E" w:rsidRPr="00F567F9" w:rsidRDefault="00CE5D5E" w:rsidP="00CE5D5E">
      <w:pPr>
        <w:ind w:firstLine="142"/>
        <w:rPr>
          <w:rFonts w:eastAsiaTheme="minorHAnsi"/>
          <w:sz w:val="18"/>
          <w:szCs w:val="18"/>
          <w:lang w:eastAsia="lv-LV"/>
        </w:rPr>
      </w:pPr>
      <w:r w:rsidRPr="00F567F9">
        <w:rPr>
          <w:rFonts w:eastAsiaTheme="minorHAnsi"/>
          <w:sz w:val="18"/>
          <w:szCs w:val="18"/>
          <w:lang w:eastAsia="lv-LV"/>
        </w:rPr>
        <w:t xml:space="preserve"> Elīna Zariņa,  67083838</w:t>
      </w:r>
    </w:p>
    <w:p w14:paraId="43DB0B3C" w14:textId="77777777" w:rsidR="00CE5D5E" w:rsidRPr="00F567F9" w:rsidRDefault="00CE5D5E" w:rsidP="00CE5D5E">
      <w:pPr>
        <w:ind w:firstLine="142"/>
        <w:rPr>
          <w:rFonts w:eastAsiaTheme="minorHAnsi"/>
          <w:sz w:val="18"/>
          <w:szCs w:val="18"/>
          <w:lang w:eastAsia="lv-LV"/>
        </w:rPr>
      </w:pPr>
      <w:r w:rsidRPr="00F567F9">
        <w:rPr>
          <w:rFonts w:eastAsiaTheme="minorHAnsi"/>
          <w:sz w:val="18"/>
          <w:szCs w:val="18"/>
          <w:lang w:eastAsia="lv-LV"/>
        </w:rPr>
        <w:t xml:space="preserve"> </w:t>
      </w:r>
      <w:hyperlink r:id="rId9" w:history="1">
        <w:r w:rsidRPr="00F567F9">
          <w:rPr>
            <w:rStyle w:val="Hyperlink"/>
            <w:rFonts w:eastAsiaTheme="minorHAnsi"/>
            <w:sz w:val="18"/>
            <w:szCs w:val="18"/>
            <w:lang w:eastAsia="lv-LV"/>
          </w:rPr>
          <w:t>Elina.Zarina@fm.gov.lv</w:t>
        </w:r>
      </w:hyperlink>
      <w:r w:rsidRPr="00F567F9">
        <w:rPr>
          <w:rFonts w:eastAsiaTheme="minorHAnsi"/>
          <w:sz w:val="18"/>
          <w:szCs w:val="18"/>
          <w:lang w:eastAsia="lv-LV"/>
        </w:rPr>
        <w:t xml:space="preserve"> </w:t>
      </w:r>
    </w:p>
    <w:p w14:paraId="454ACF25" w14:textId="77777777" w:rsidR="00CE5D5E" w:rsidRPr="00F567F9" w:rsidRDefault="00CE5D5E" w:rsidP="00CE5D5E">
      <w:pPr>
        <w:ind w:firstLine="142"/>
        <w:rPr>
          <w:rFonts w:eastAsiaTheme="minorHAnsi"/>
          <w:sz w:val="18"/>
          <w:szCs w:val="18"/>
          <w:lang w:eastAsia="lv-LV"/>
        </w:rPr>
      </w:pPr>
    </w:p>
    <w:p w14:paraId="61F989D1" w14:textId="77777777" w:rsidR="00CE5D5E" w:rsidRPr="00F567F9" w:rsidRDefault="00CE5D5E" w:rsidP="00CE5D5E">
      <w:pPr>
        <w:rPr>
          <w:rFonts w:eastAsiaTheme="minorHAnsi"/>
          <w:sz w:val="18"/>
          <w:szCs w:val="18"/>
          <w:lang w:eastAsia="lv-LV"/>
        </w:rPr>
      </w:pPr>
      <w:r w:rsidRPr="00F567F9">
        <w:rPr>
          <w:rFonts w:eastAsiaTheme="minorHAnsi"/>
          <w:sz w:val="18"/>
          <w:szCs w:val="18"/>
          <w:lang w:eastAsia="lv-LV"/>
        </w:rPr>
        <w:t xml:space="preserve">   Eiropas Savienības fondu stratēģijas departamenta</w:t>
      </w:r>
    </w:p>
    <w:p w14:paraId="3D290CCA" w14:textId="77777777" w:rsidR="00CE5D5E" w:rsidRPr="00F567F9" w:rsidRDefault="00CE5D5E" w:rsidP="00CE5D5E">
      <w:pPr>
        <w:ind w:firstLine="142"/>
        <w:rPr>
          <w:rFonts w:eastAsiaTheme="minorHAnsi"/>
          <w:sz w:val="18"/>
          <w:szCs w:val="18"/>
          <w:lang w:eastAsia="lv-LV"/>
        </w:rPr>
      </w:pPr>
      <w:r w:rsidRPr="00F567F9">
        <w:rPr>
          <w:rFonts w:eastAsiaTheme="minorHAnsi"/>
          <w:sz w:val="18"/>
          <w:szCs w:val="18"/>
          <w:lang w:eastAsia="lv-LV"/>
        </w:rPr>
        <w:t>Uzņēmējdarbības un inovāciju attīstības nodaļas vecākais eksperts</w:t>
      </w:r>
    </w:p>
    <w:p w14:paraId="6ADC7081" w14:textId="77777777" w:rsidR="00CE5D5E" w:rsidRPr="00F567F9" w:rsidRDefault="00CE5D5E" w:rsidP="00CE5D5E">
      <w:pPr>
        <w:ind w:firstLine="142"/>
        <w:rPr>
          <w:rFonts w:eastAsiaTheme="minorHAnsi"/>
          <w:sz w:val="18"/>
          <w:szCs w:val="18"/>
          <w:lang w:eastAsia="lv-LV"/>
        </w:rPr>
      </w:pPr>
      <w:r w:rsidRPr="00F567F9">
        <w:rPr>
          <w:rFonts w:eastAsiaTheme="minorHAnsi"/>
          <w:sz w:val="18"/>
          <w:szCs w:val="18"/>
          <w:lang w:eastAsia="lv-LV"/>
        </w:rPr>
        <w:t>Jevgeņijs Burovs,  67083879</w:t>
      </w:r>
    </w:p>
    <w:p w14:paraId="25D4FDE0" w14:textId="77777777" w:rsidR="00CE5D5E" w:rsidRPr="00F567F9" w:rsidRDefault="00811375" w:rsidP="00CE5D5E">
      <w:pPr>
        <w:ind w:firstLine="142"/>
        <w:rPr>
          <w:rFonts w:eastAsiaTheme="minorHAnsi"/>
          <w:sz w:val="18"/>
          <w:szCs w:val="18"/>
          <w:lang w:eastAsia="lv-LV"/>
        </w:rPr>
      </w:pPr>
      <w:hyperlink r:id="rId10" w:history="1">
        <w:r w:rsidR="00CE5D5E" w:rsidRPr="00F567F9">
          <w:rPr>
            <w:rStyle w:val="Hyperlink"/>
            <w:rFonts w:eastAsiaTheme="minorHAnsi"/>
            <w:sz w:val="18"/>
            <w:szCs w:val="18"/>
            <w:lang w:eastAsia="lv-LV"/>
          </w:rPr>
          <w:t>Jevgenijs.burovs@fm.gov.lv</w:t>
        </w:r>
      </w:hyperlink>
    </w:p>
    <w:p w14:paraId="771C3B56" w14:textId="77777777" w:rsidR="00CE5D5E" w:rsidRPr="00F567F9" w:rsidRDefault="00CE5D5E" w:rsidP="00CE5D5E">
      <w:pPr>
        <w:rPr>
          <w:rFonts w:eastAsiaTheme="minorHAnsi"/>
          <w:sz w:val="18"/>
          <w:szCs w:val="18"/>
          <w:lang w:eastAsia="lv-LV"/>
        </w:rPr>
      </w:pPr>
    </w:p>
    <w:p w14:paraId="111D3E97" w14:textId="77777777" w:rsidR="00CE5D5E" w:rsidRPr="00F567F9" w:rsidRDefault="00CE5D5E" w:rsidP="00CE5D5E">
      <w:pPr>
        <w:ind w:firstLine="142"/>
        <w:rPr>
          <w:rFonts w:eastAsiaTheme="minorHAnsi"/>
          <w:sz w:val="18"/>
          <w:szCs w:val="18"/>
          <w:lang w:eastAsia="lv-LV"/>
        </w:rPr>
      </w:pPr>
      <w:r w:rsidRPr="00F567F9">
        <w:rPr>
          <w:rFonts w:eastAsiaTheme="minorHAnsi"/>
          <w:sz w:val="18"/>
          <w:szCs w:val="18"/>
          <w:lang w:eastAsia="lv-LV"/>
        </w:rPr>
        <w:t>Budžeta departamenta</w:t>
      </w:r>
    </w:p>
    <w:p w14:paraId="29F6F382" w14:textId="77777777" w:rsidR="00CE5D5E" w:rsidRPr="00F567F9" w:rsidRDefault="00CE5D5E" w:rsidP="00CE5D5E">
      <w:pPr>
        <w:ind w:firstLine="142"/>
        <w:rPr>
          <w:rFonts w:eastAsiaTheme="minorHAnsi"/>
          <w:sz w:val="18"/>
          <w:szCs w:val="18"/>
          <w:lang w:eastAsia="lv-LV"/>
        </w:rPr>
      </w:pPr>
      <w:r w:rsidRPr="00F567F9">
        <w:rPr>
          <w:rFonts w:eastAsiaTheme="minorHAnsi"/>
          <w:sz w:val="18"/>
          <w:szCs w:val="18"/>
          <w:lang w:eastAsia="lv-LV"/>
        </w:rPr>
        <w:t>Reģionālās attīstības, vides, zemkopības un satiksmes finansēšanas nodaļas vecākā eksperte</w:t>
      </w:r>
    </w:p>
    <w:p w14:paraId="01E8951A" w14:textId="77777777" w:rsidR="00CE5D5E" w:rsidRPr="00F567F9" w:rsidRDefault="00CE5D5E" w:rsidP="00CE5D5E">
      <w:pPr>
        <w:rPr>
          <w:rFonts w:eastAsiaTheme="minorHAnsi"/>
          <w:sz w:val="18"/>
          <w:szCs w:val="18"/>
          <w:lang w:eastAsia="lv-LV"/>
        </w:rPr>
      </w:pPr>
      <w:r w:rsidRPr="00F567F9">
        <w:rPr>
          <w:rFonts w:eastAsiaTheme="minorHAnsi"/>
          <w:sz w:val="18"/>
          <w:szCs w:val="18"/>
          <w:lang w:eastAsia="lv-LV"/>
        </w:rPr>
        <w:t xml:space="preserve">   Ilze Kote, 67095452</w:t>
      </w:r>
    </w:p>
    <w:p w14:paraId="52ACB5E0" w14:textId="77777777" w:rsidR="00CE5D5E" w:rsidRPr="00F567F9" w:rsidRDefault="00CE5D5E" w:rsidP="00CE5D5E">
      <w:pPr>
        <w:rPr>
          <w:rFonts w:eastAsiaTheme="minorHAnsi"/>
          <w:sz w:val="18"/>
          <w:szCs w:val="18"/>
          <w:lang w:eastAsia="lv-LV"/>
        </w:rPr>
      </w:pPr>
      <w:r w:rsidRPr="00F567F9">
        <w:rPr>
          <w:rFonts w:eastAsiaTheme="minorHAnsi"/>
          <w:sz w:val="18"/>
          <w:szCs w:val="18"/>
          <w:lang w:eastAsia="lv-LV"/>
        </w:rPr>
        <w:t xml:space="preserve">   </w:t>
      </w:r>
      <w:hyperlink r:id="rId11" w:history="1">
        <w:r w:rsidRPr="00F567F9">
          <w:rPr>
            <w:rStyle w:val="Hyperlink"/>
            <w:rFonts w:eastAsiaTheme="minorHAnsi"/>
            <w:sz w:val="18"/>
            <w:szCs w:val="18"/>
            <w:lang w:eastAsia="lv-LV"/>
          </w:rPr>
          <w:t>Ilze.Kote@fm.gov.lv</w:t>
        </w:r>
      </w:hyperlink>
    </w:p>
    <w:p w14:paraId="46CA2B64" w14:textId="77777777" w:rsidR="00CE5D5E" w:rsidRPr="00F567F9" w:rsidRDefault="00CE5D5E" w:rsidP="00CE5D5E">
      <w:pPr>
        <w:rPr>
          <w:rFonts w:eastAsiaTheme="minorHAnsi"/>
          <w:sz w:val="18"/>
          <w:szCs w:val="18"/>
          <w:lang w:eastAsia="lv-LV"/>
        </w:rPr>
      </w:pPr>
    </w:p>
    <w:p w14:paraId="54EF8414" w14:textId="77777777" w:rsidR="00CE5D5E" w:rsidRPr="00F567F9" w:rsidRDefault="00CE5D5E" w:rsidP="00CE5D5E">
      <w:pPr>
        <w:rPr>
          <w:rFonts w:eastAsiaTheme="minorHAnsi"/>
          <w:sz w:val="18"/>
          <w:szCs w:val="18"/>
          <w:lang w:eastAsia="lv-LV"/>
        </w:rPr>
      </w:pPr>
      <w:r w:rsidRPr="00F567F9">
        <w:rPr>
          <w:rFonts w:eastAsiaTheme="minorHAnsi"/>
          <w:sz w:val="18"/>
          <w:szCs w:val="18"/>
          <w:lang w:eastAsia="lv-LV"/>
        </w:rPr>
        <w:t xml:space="preserve">   Centrālās finanšu un līgumu aģentūras</w:t>
      </w:r>
    </w:p>
    <w:p w14:paraId="03AACA90" w14:textId="77777777" w:rsidR="00CE5D5E" w:rsidRPr="00F567F9" w:rsidRDefault="00CE5D5E" w:rsidP="00CE5D5E">
      <w:pPr>
        <w:rPr>
          <w:rFonts w:eastAsiaTheme="minorHAnsi"/>
          <w:sz w:val="18"/>
          <w:szCs w:val="18"/>
          <w:lang w:eastAsia="lv-LV"/>
        </w:rPr>
      </w:pPr>
      <w:r w:rsidRPr="00F567F9">
        <w:rPr>
          <w:rFonts w:eastAsiaTheme="minorHAnsi"/>
          <w:sz w:val="18"/>
          <w:szCs w:val="18"/>
          <w:lang w:eastAsia="lv-LV"/>
        </w:rPr>
        <w:t xml:space="preserve">   Programmu uzraudzības un stratēģiskās plānošanas nodaļas vecākā eksperte</w:t>
      </w:r>
    </w:p>
    <w:p w14:paraId="4A299AE1" w14:textId="77777777" w:rsidR="00CE5D5E" w:rsidRPr="00F567F9" w:rsidRDefault="00CE5D5E" w:rsidP="00CE5D5E">
      <w:pPr>
        <w:rPr>
          <w:rFonts w:eastAsiaTheme="minorHAnsi"/>
          <w:sz w:val="18"/>
          <w:szCs w:val="18"/>
          <w:lang w:eastAsia="lv-LV"/>
        </w:rPr>
      </w:pPr>
      <w:r w:rsidRPr="00F567F9">
        <w:rPr>
          <w:rFonts w:eastAsiaTheme="minorHAnsi"/>
          <w:sz w:val="18"/>
          <w:szCs w:val="18"/>
          <w:lang w:eastAsia="lv-LV"/>
        </w:rPr>
        <w:t xml:space="preserve">   Regīna Vigula, 27053305</w:t>
      </w:r>
    </w:p>
    <w:p w14:paraId="392775CB" w14:textId="77777777" w:rsidR="00CE5D5E" w:rsidRPr="00F567F9" w:rsidRDefault="00CE5D5E" w:rsidP="00CE5D5E">
      <w:pPr>
        <w:rPr>
          <w:rFonts w:eastAsiaTheme="minorHAnsi"/>
          <w:sz w:val="18"/>
          <w:szCs w:val="18"/>
          <w:lang w:eastAsia="lv-LV"/>
        </w:rPr>
      </w:pPr>
      <w:r w:rsidRPr="00F567F9">
        <w:rPr>
          <w:rFonts w:eastAsiaTheme="minorHAnsi"/>
          <w:sz w:val="18"/>
          <w:szCs w:val="18"/>
          <w:lang w:eastAsia="lv-LV"/>
        </w:rPr>
        <w:t xml:space="preserve">   </w:t>
      </w:r>
      <w:hyperlink r:id="rId12" w:history="1">
        <w:r w:rsidRPr="00F567F9">
          <w:rPr>
            <w:rStyle w:val="Hyperlink"/>
            <w:rFonts w:eastAsiaTheme="minorHAnsi"/>
            <w:sz w:val="18"/>
            <w:szCs w:val="18"/>
            <w:lang w:eastAsia="lv-LV"/>
          </w:rPr>
          <w:t>Sarmite.Lucane@cfla.gov.lv</w:t>
        </w:r>
      </w:hyperlink>
    </w:p>
    <w:p w14:paraId="39DEAE3C" w14:textId="77777777" w:rsidR="00CE5D5E" w:rsidRPr="00F567F9" w:rsidRDefault="00CE5D5E" w:rsidP="00CE5D5E">
      <w:pPr>
        <w:rPr>
          <w:rFonts w:eastAsiaTheme="minorHAnsi"/>
          <w:sz w:val="18"/>
          <w:szCs w:val="18"/>
          <w:lang w:eastAsia="lv-LV"/>
        </w:rPr>
      </w:pPr>
    </w:p>
    <w:p w14:paraId="2ECF0432" w14:textId="77777777" w:rsidR="00CE5D5E" w:rsidRPr="00F567F9" w:rsidRDefault="00CE5D5E" w:rsidP="00CE5D5E">
      <w:pPr>
        <w:jc w:val="left"/>
        <w:rPr>
          <w:rFonts w:eastAsiaTheme="minorHAnsi"/>
          <w:sz w:val="18"/>
          <w:szCs w:val="18"/>
          <w:lang w:eastAsia="lv-LV"/>
        </w:rPr>
      </w:pPr>
      <w:r w:rsidRPr="00F567F9">
        <w:rPr>
          <w:rFonts w:eastAsiaTheme="minorHAnsi"/>
          <w:sz w:val="18"/>
          <w:szCs w:val="18"/>
          <w:lang w:eastAsia="lv-LV"/>
        </w:rPr>
        <w:t xml:space="preserve">  ES fondu sistēmas vadības departamenta </w:t>
      </w:r>
      <w:r w:rsidRPr="00F567F9">
        <w:rPr>
          <w:rFonts w:eastAsiaTheme="minorHAnsi"/>
          <w:sz w:val="18"/>
          <w:szCs w:val="18"/>
          <w:lang w:eastAsia="lv-LV"/>
        </w:rPr>
        <w:br/>
        <w:t xml:space="preserve">  Eiropas Savienības fondu tiesiskā nodrošinājuma nodaļas vadītāja vietniece</w:t>
      </w:r>
      <w:r w:rsidRPr="00F567F9">
        <w:rPr>
          <w:rFonts w:eastAsiaTheme="minorHAnsi"/>
          <w:sz w:val="18"/>
          <w:szCs w:val="18"/>
          <w:lang w:eastAsia="lv-LV"/>
        </w:rPr>
        <w:br/>
        <w:t xml:space="preserve">  Inita Petrova, 67083941</w:t>
      </w:r>
    </w:p>
    <w:p w14:paraId="56E0C82E" w14:textId="77777777" w:rsidR="00CE5D5E" w:rsidRPr="00F567F9" w:rsidRDefault="00CE5D5E" w:rsidP="00CE5D5E">
      <w:pPr>
        <w:jc w:val="left"/>
        <w:rPr>
          <w:rFonts w:eastAsiaTheme="minorHAnsi"/>
          <w:sz w:val="18"/>
          <w:szCs w:val="18"/>
          <w:lang w:eastAsia="lv-LV"/>
        </w:rPr>
      </w:pPr>
      <w:r w:rsidRPr="00F567F9">
        <w:rPr>
          <w:rFonts w:eastAsiaTheme="minorHAnsi"/>
          <w:sz w:val="18"/>
          <w:szCs w:val="18"/>
          <w:lang w:eastAsia="lv-LV"/>
        </w:rPr>
        <w:t xml:space="preserve">  </w:t>
      </w:r>
      <w:hyperlink r:id="rId13" w:history="1">
        <w:r w:rsidRPr="00F567F9">
          <w:rPr>
            <w:rStyle w:val="Hyperlink"/>
            <w:rFonts w:eastAsiaTheme="minorHAnsi"/>
            <w:sz w:val="18"/>
            <w:szCs w:val="18"/>
            <w:lang w:eastAsia="lv-LV"/>
          </w:rPr>
          <w:t>Inita.Petrova@fm.gov.lv</w:t>
        </w:r>
      </w:hyperlink>
      <w:r w:rsidRPr="00F567F9">
        <w:rPr>
          <w:rFonts w:eastAsiaTheme="minorHAnsi"/>
          <w:sz w:val="18"/>
          <w:szCs w:val="18"/>
          <w:lang w:eastAsia="lv-LV"/>
        </w:rPr>
        <w:t xml:space="preserve"> </w:t>
      </w:r>
    </w:p>
    <w:p w14:paraId="086C7AA2" w14:textId="77777777" w:rsidR="00CE5D5E" w:rsidRPr="00F567F9" w:rsidRDefault="00CE5D5E" w:rsidP="00CE5D5E">
      <w:pPr>
        <w:rPr>
          <w:rFonts w:eastAsiaTheme="minorHAnsi"/>
          <w:sz w:val="18"/>
          <w:szCs w:val="18"/>
          <w:lang w:eastAsia="lv-LV"/>
        </w:rPr>
      </w:pPr>
    </w:p>
    <w:p w14:paraId="44A95E3C" w14:textId="77777777" w:rsidR="00CE5D5E" w:rsidRPr="00F567F9" w:rsidRDefault="00CE5D5E" w:rsidP="00CE5D5E">
      <w:pPr>
        <w:jc w:val="left"/>
        <w:rPr>
          <w:rFonts w:eastAsiaTheme="minorHAnsi"/>
          <w:sz w:val="18"/>
          <w:szCs w:val="18"/>
          <w:lang w:eastAsia="lv-LV"/>
        </w:rPr>
      </w:pPr>
      <w:r w:rsidRPr="00F567F9">
        <w:rPr>
          <w:rFonts w:eastAsiaTheme="minorHAnsi"/>
          <w:sz w:val="18"/>
          <w:szCs w:val="18"/>
          <w:lang w:eastAsia="lv-LV"/>
        </w:rPr>
        <w:t xml:space="preserve">  Komercdarbība atbalsta un kontroles departamenta  vecākā eksperte</w:t>
      </w:r>
      <w:r w:rsidRPr="00F567F9">
        <w:rPr>
          <w:rFonts w:eastAsiaTheme="minorHAnsi"/>
          <w:sz w:val="18"/>
          <w:szCs w:val="18"/>
          <w:lang w:eastAsia="lv-LV"/>
        </w:rPr>
        <w:br/>
        <w:t xml:space="preserve">  Kerolaina Pastare , 67095481</w:t>
      </w:r>
    </w:p>
    <w:p w14:paraId="30910548" w14:textId="77777777" w:rsidR="00CE5D5E" w:rsidRPr="00F567F9" w:rsidRDefault="00CE5D5E" w:rsidP="00CE5D5E">
      <w:pPr>
        <w:rPr>
          <w:rFonts w:eastAsiaTheme="minorHAnsi"/>
          <w:sz w:val="18"/>
          <w:szCs w:val="18"/>
          <w:lang w:eastAsia="lv-LV"/>
        </w:rPr>
      </w:pPr>
      <w:r w:rsidRPr="00F567F9">
        <w:rPr>
          <w:rFonts w:eastAsiaTheme="minorHAnsi"/>
          <w:sz w:val="18"/>
          <w:szCs w:val="18"/>
          <w:lang w:eastAsia="lv-LV"/>
        </w:rPr>
        <w:t xml:space="preserve">  </w:t>
      </w:r>
      <w:hyperlink r:id="rId14" w:history="1">
        <w:r w:rsidRPr="00F567F9">
          <w:rPr>
            <w:rStyle w:val="Hyperlink"/>
            <w:rFonts w:eastAsiaTheme="minorHAnsi"/>
            <w:sz w:val="18"/>
            <w:szCs w:val="18"/>
            <w:lang w:eastAsia="lv-LV"/>
          </w:rPr>
          <w:t>Kerolaina.Pastare@fm.gov.lv</w:t>
        </w:r>
      </w:hyperlink>
    </w:p>
    <w:sectPr w:rsidR="00CE5D5E" w:rsidRPr="00F567F9" w:rsidSect="00922A7C">
      <w:headerReference w:type="even" r:id="rId15"/>
      <w:headerReference w:type="default" r:id="rId16"/>
      <w:footerReference w:type="even" r:id="rId17"/>
      <w:footerReference w:type="default" r:id="rId18"/>
      <w:headerReference w:type="first" r:id="rId19"/>
      <w:footerReference w:type="first" r:id="rId20"/>
      <w:pgSz w:w="11907" w:h="16840" w:code="9"/>
      <w:pgMar w:top="567" w:right="850" w:bottom="28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215D" w14:textId="77777777" w:rsidR="005367DD" w:rsidRDefault="005367DD">
      <w:r>
        <w:separator/>
      </w:r>
    </w:p>
  </w:endnote>
  <w:endnote w:type="continuationSeparator" w:id="0">
    <w:p w14:paraId="68D92F02" w14:textId="77777777" w:rsidR="005367DD" w:rsidRDefault="0053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31E2" w14:textId="77777777" w:rsidR="002C22B9" w:rsidRDefault="002C2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2951"/>
      <w:docPartObj>
        <w:docPartGallery w:val="Page Numbers (Bottom of Page)"/>
        <w:docPartUnique/>
      </w:docPartObj>
    </w:sdtPr>
    <w:sdtEndPr/>
    <w:sdtContent>
      <w:p w14:paraId="1DF50990"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264AB0">
          <w:rPr>
            <w:noProof/>
            <w:sz w:val="24"/>
            <w:szCs w:val="24"/>
          </w:rPr>
          <w:t>4</w:t>
        </w:r>
        <w:r w:rsidRPr="00557B49">
          <w:rPr>
            <w:sz w:val="24"/>
            <w:szCs w:val="24"/>
          </w:rPr>
          <w:fldChar w:fldCharType="end"/>
        </w:r>
      </w:p>
    </w:sdtContent>
  </w:sdt>
  <w:p w14:paraId="5C7C9674" w14:textId="77777777" w:rsidR="0015384D" w:rsidRDefault="00153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A109" w14:textId="77777777" w:rsidR="0015384D" w:rsidRDefault="0015384D">
    <w:pPr>
      <w:pStyle w:val="Footer"/>
      <w:jc w:val="center"/>
    </w:pPr>
  </w:p>
  <w:p w14:paraId="4BEBAB03"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45AB2" w14:textId="77777777" w:rsidR="005367DD" w:rsidRDefault="005367DD">
      <w:r>
        <w:separator/>
      </w:r>
    </w:p>
  </w:footnote>
  <w:footnote w:type="continuationSeparator" w:id="0">
    <w:p w14:paraId="10EA7C78" w14:textId="77777777" w:rsidR="005367DD" w:rsidRDefault="005367DD">
      <w:r>
        <w:continuationSeparator/>
      </w:r>
    </w:p>
  </w:footnote>
  <w:footnote w:id="1">
    <w:p w14:paraId="0C95A206" w14:textId="77777777" w:rsidR="001B59B6" w:rsidRDefault="001B59B6" w:rsidP="001B59B6">
      <w:pPr>
        <w:pStyle w:val="FootnoteText"/>
      </w:pPr>
      <w:r>
        <w:rPr>
          <w:rStyle w:val="FootnoteReference"/>
        </w:rPr>
        <w:footnoteRef/>
      </w:r>
      <w:r>
        <w:t xml:space="preserve"> </w:t>
      </w:r>
      <w:r w:rsidRPr="009324AF">
        <w:t>Eiropas Reģionālā attīstības fonda, Eiropas Sociālā fonda Plus, Kohēzijas fonda vai Taisnīgās pārkārtošanās fonda</w:t>
      </w:r>
    </w:p>
  </w:footnote>
  <w:footnote w:id="2">
    <w:p w14:paraId="637575E7" w14:textId="77777777" w:rsidR="001B59B6" w:rsidRDefault="001B59B6" w:rsidP="001B59B6">
      <w:pPr>
        <w:pStyle w:val="FootnoteText"/>
      </w:pPr>
      <w:r>
        <w:rPr>
          <w:rStyle w:val="FootnoteReference"/>
        </w:rPr>
        <w:footnoteRef/>
      </w:r>
      <w:r>
        <w:t xml:space="preserve"> </w:t>
      </w:r>
      <w:r w:rsidRPr="0015356C">
        <w:t>https://eur-lex.europa.eu/legal-content/LV/TXT/HTML/?uri=CELEX:32021R1057&amp;from=EN</w:t>
      </w:r>
    </w:p>
  </w:footnote>
  <w:footnote w:id="3">
    <w:p w14:paraId="2C3901D3" w14:textId="77777777" w:rsidR="001B59B6" w:rsidRDefault="001B59B6" w:rsidP="001B59B6">
      <w:pPr>
        <w:pStyle w:val="FootnoteText"/>
      </w:pPr>
      <w:r>
        <w:rPr>
          <w:rStyle w:val="FootnoteReference"/>
        </w:rPr>
        <w:t>[1]</w:t>
      </w:r>
      <w:r>
        <w:t xml:space="preserve"> </w:t>
      </w:r>
      <w:hyperlink r:id="rId1" w:history="1">
        <w:r>
          <w:rPr>
            <w:rStyle w:val="Hyperlink"/>
          </w:rPr>
          <w:t>https://www.balticsea-region-strategy.eu/about/implementation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B785"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16AD3C91"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68E8"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0DAA" w14:textId="77777777" w:rsidR="002C22B9" w:rsidRDefault="002C22B9">
    <w:pPr>
      <w:pStyle w:val="Header"/>
    </w:pPr>
  </w:p>
  <w:p w14:paraId="5CFD3222" w14:textId="77777777" w:rsidR="002C22B9" w:rsidRDefault="002C22B9">
    <w:pPr>
      <w:pStyle w:val="Header"/>
    </w:pPr>
  </w:p>
  <w:p w14:paraId="78793A75" w14:textId="77777777" w:rsidR="002C22B9" w:rsidRDefault="002C22B9">
    <w:pPr>
      <w:pStyle w:val="Header"/>
    </w:pPr>
  </w:p>
  <w:p w14:paraId="5DC4A139"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0A2C3E5D" wp14:editId="5E612477">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D23F7"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C3E5D"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" filled="f" stroked="f">
              <v:textbox inset="0,0,0,0">
                <w:txbxContent>
                  <w:p w14:paraId="203D23F7"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4FC0C94A" wp14:editId="31F6F07A">
          <wp:simplePos x="0" y="0"/>
          <wp:positionH relativeFrom="margin">
            <wp:posOffset>75565</wp:posOffset>
          </wp:positionH>
          <wp:positionV relativeFrom="page">
            <wp:posOffset>711200</wp:posOffset>
          </wp:positionV>
          <wp:extent cx="5914390" cy="1065600"/>
          <wp:effectExtent l="0" t="0" r="0" b="0"/>
          <wp:wrapNone/>
          <wp:docPr id="7" name="Picture 7"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69F853" w14:textId="77777777" w:rsidR="002C22B9" w:rsidRDefault="002C22B9">
    <w:pPr>
      <w:pStyle w:val="Header"/>
    </w:pPr>
  </w:p>
  <w:p w14:paraId="0B686238" w14:textId="77777777" w:rsidR="002C22B9" w:rsidRDefault="002C22B9">
    <w:pPr>
      <w:pStyle w:val="Header"/>
    </w:pPr>
  </w:p>
  <w:p w14:paraId="3E8CBE8F" w14:textId="77777777" w:rsidR="002C22B9" w:rsidRDefault="002C22B9">
    <w:pPr>
      <w:pStyle w:val="Header"/>
    </w:pPr>
  </w:p>
  <w:p w14:paraId="387740FA" w14:textId="77777777" w:rsidR="002C22B9" w:rsidRDefault="002C22B9">
    <w:pPr>
      <w:pStyle w:val="Header"/>
    </w:pPr>
  </w:p>
  <w:p w14:paraId="5204862B" w14:textId="77777777" w:rsidR="002C22B9" w:rsidRDefault="002C22B9">
    <w:pPr>
      <w:pStyle w:val="Header"/>
    </w:pPr>
  </w:p>
  <w:p w14:paraId="129C072D" w14:textId="77777777" w:rsidR="002C22B9" w:rsidRDefault="002C22B9">
    <w:pPr>
      <w:pStyle w:val="Header"/>
    </w:pPr>
  </w:p>
  <w:p w14:paraId="06CBFDE0"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697454EE" wp14:editId="2EEB1BC8">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5AD73A83" w14:textId="77777777" w:rsidR="002C22B9" w:rsidRDefault="002C22B9">
    <w:pPr>
      <w:pStyle w:val="Header"/>
    </w:pPr>
  </w:p>
  <w:p w14:paraId="0DECA004" w14:textId="77777777" w:rsidR="002C22B9" w:rsidRDefault="002C22B9">
    <w:pPr>
      <w:pStyle w:val="Header"/>
    </w:pPr>
  </w:p>
  <w:p w14:paraId="49C3668F" w14:textId="77777777" w:rsidR="002C22B9" w:rsidRDefault="002C2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D7C2A"/>
    <w:multiLevelType w:val="hybridMultilevel"/>
    <w:tmpl w:val="43CA31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E324A78"/>
    <w:multiLevelType w:val="hybridMultilevel"/>
    <w:tmpl w:val="71681A4C"/>
    <w:lvl w:ilvl="0" w:tplc="42AE72A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97A4E38"/>
    <w:multiLevelType w:val="hybridMultilevel"/>
    <w:tmpl w:val="9C5843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86EC7"/>
    <w:rsid w:val="001943EE"/>
    <w:rsid w:val="001B59B6"/>
    <w:rsid w:val="001D78A7"/>
    <w:rsid w:val="001F53D9"/>
    <w:rsid w:val="00203705"/>
    <w:rsid w:val="0021300E"/>
    <w:rsid w:val="00220CEE"/>
    <w:rsid w:val="00224396"/>
    <w:rsid w:val="00227D91"/>
    <w:rsid w:val="0023013F"/>
    <w:rsid w:val="00235349"/>
    <w:rsid w:val="00244390"/>
    <w:rsid w:val="00260557"/>
    <w:rsid w:val="00261352"/>
    <w:rsid w:val="002644F0"/>
    <w:rsid w:val="00264AB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18C3"/>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4E63"/>
    <w:rsid w:val="0043643E"/>
    <w:rsid w:val="004478B9"/>
    <w:rsid w:val="00474D18"/>
    <w:rsid w:val="00483407"/>
    <w:rsid w:val="004E2880"/>
    <w:rsid w:val="004E45F2"/>
    <w:rsid w:val="004E4C3B"/>
    <w:rsid w:val="004F221F"/>
    <w:rsid w:val="004F32A1"/>
    <w:rsid w:val="004F671B"/>
    <w:rsid w:val="004F7DFD"/>
    <w:rsid w:val="005053F3"/>
    <w:rsid w:val="00513B65"/>
    <w:rsid w:val="00526E86"/>
    <w:rsid w:val="0053353D"/>
    <w:rsid w:val="005367DD"/>
    <w:rsid w:val="00546FDE"/>
    <w:rsid w:val="00550841"/>
    <w:rsid w:val="00550BA5"/>
    <w:rsid w:val="00557B49"/>
    <w:rsid w:val="0056044A"/>
    <w:rsid w:val="00566B07"/>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4615"/>
    <w:rsid w:val="006A707B"/>
    <w:rsid w:val="006B33CB"/>
    <w:rsid w:val="006B42A2"/>
    <w:rsid w:val="006D24EC"/>
    <w:rsid w:val="006D6710"/>
    <w:rsid w:val="006E45DD"/>
    <w:rsid w:val="006E689E"/>
    <w:rsid w:val="006E6DBE"/>
    <w:rsid w:val="00701105"/>
    <w:rsid w:val="0070258A"/>
    <w:rsid w:val="00706C69"/>
    <w:rsid w:val="0070718E"/>
    <w:rsid w:val="0071276C"/>
    <w:rsid w:val="007248B9"/>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11375"/>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22A7C"/>
    <w:rsid w:val="009328EF"/>
    <w:rsid w:val="00963ACC"/>
    <w:rsid w:val="00973529"/>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26E48"/>
    <w:rsid w:val="00B30E51"/>
    <w:rsid w:val="00B32216"/>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A6A34"/>
    <w:rsid w:val="00CD3BB8"/>
    <w:rsid w:val="00CE0655"/>
    <w:rsid w:val="00CE5D5E"/>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567F9"/>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19C5F4"/>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uiPriority w:val="99"/>
    <w:semiHidden/>
    <w:rsid w:val="00903B9C"/>
    <w:rPr>
      <w:sz w:val="20"/>
    </w:rPr>
  </w:style>
  <w:style w:type="character" w:styleId="FootnoteReference">
    <w:name w:val="footnote reference"/>
    <w:uiPriority w:val="99"/>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uiPriority w:val="99"/>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9B6"/>
    <w:pPr>
      <w:spacing w:after="160" w:line="259" w:lineRule="auto"/>
      <w:ind w:left="720"/>
      <w:contextualSpacing/>
      <w:jc w:val="left"/>
    </w:pPr>
    <w:rPr>
      <w:rFonts w:eastAsiaTheme="minorHAnsi"/>
      <w:szCs w:val="24"/>
    </w:rPr>
  </w:style>
  <w:style w:type="paragraph" w:customStyle="1" w:styleId="naisc">
    <w:name w:val="naisc"/>
    <w:basedOn w:val="Normal"/>
    <w:uiPriority w:val="99"/>
    <w:rsid w:val="001B59B6"/>
    <w:pPr>
      <w:spacing w:before="75" w:after="75"/>
      <w:jc w:val="center"/>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a.Zvirgzdina@fm.gov.lv" TargetMode="External"/><Relationship Id="rId13" Type="http://schemas.openxmlformats.org/officeDocument/2006/relationships/hyperlink" Target="mailto:Inita.Petrova@fm.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armite.Lucane@cfla.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Kote@fm.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evgenijs.burovs@fm.gov.l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lina.Zarina@fm.gov.lv" TargetMode="External"/><Relationship Id="rId14" Type="http://schemas.openxmlformats.org/officeDocument/2006/relationships/hyperlink" Target="mailto:Kerolaina.Pastare@fm.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alticsea-region-strategy.eu/about/implementation" TargetMode="Externa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3B1E0-4E35-41E6-A361-7F6A9D9A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12337</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programmas projektu "Centrālā Baltijas jūras r</dc:subject>
  <dc:creator>Zvirgzdiņa L.</dc:creator>
  <dc:description>Sagatavots ALS E-aprites vidē.</dc:description>
  <cp:lastModifiedBy>Ilga Gruševa</cp:lastModifiedBy>
  <cp:revision>2</cp:revision>
  <cp:lastPrinted>2007-06-25T10:49:00Z</cp:lastPrinted>
  <dcterms:created xsi:type="dcterms:W3CDTF">2021-09-13T08:19:00Z</dcterms:created>
  <dcterms:modified xsi:type="dcterms:W3CDTF">2021-09-13T08:19:00Z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