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p w:rsidR="000F716B" w:rsidRPr="00661C8F" w:rsidP="00661C8F" w14:paraId="76DAEB94" w14:textId="77777777">
      <w:pPr>
        <w:spacing w:after="0" w:line="240" w:lineRule="auto"/>
        <w:jc w:val="right"/>
        <w:rPr>
          <w:b/>
        </w:rPr>
      </w:pPr>
    </w:p>
    <w:p w:rsidR="00104688" w:rsidRPr="00661C8F" w:rsidP="00661C8F" w14:paraId="478C8CF8" w14:textId="77777777">
      <w:pPr>
        <w:spacing w:after="0" w:line="240" w:lineRule="auto"/>
        <w:jc w:val="right"/>
        <w:rPr>
          <w:b/>
        </w:rPr>
      </w:pPr>
    </w:p>
    <w:p w:rsidR="00B62EAB" w:rsidP="00B62EAB" w14:paraId="6E5FF410" w14:textId="77777777">
      <w:pPr>
        <w:spacing w:after="0" w:line="240" w:lineRule="auto"/>
        <w:jc w:val="right"/>
        <w:rPr>
          <w:b/>
        </w:rPr>
      </w:pPr>
      <w:r>
        <w:rPr>
          <w:b/>
          <w:noProof/>
        </w:rPr>
        <w:t>Tieslietu ministrijai</w:t>
      </w:r>
    </w:p>
    <w:p w:rsidR="00B62EAB" w:rsidP="00B62EAB" w14:paraId="7222ED04" w14:textId="77777777">
      <w:pPr>
        <w:spacing w:after="0" w:line="240" w:lineRule="auto"/>
        <w:jc w:val="right"/>
        <w:rPr>
          <w:b/>
        </w:rPr>
      </w:pPr>
    </w:p>
    <w:p w:rsidR="00B62EAB" w:rsidP="00B62EAB" w14:paraId="40EB9F2D" w14:textId="77777777">
      <w:pPr>
        <w:spacing w:after="0" w:line="240" w:lineRule="auto"/>
        <w:jc w:val="right"/>
        <w:rPr>
          <w:b/>
        </w:rPr>
      </w:pPr>
    </w:p>
    <w:p w:rsidR="00B62EAB" w:rsidP="00B62EAB" w14:paraId="2A464A68" w14:textId="77777777">
      <w:pPr>
        <w:spacing w:after="0" w:line="240" w:lineRule="auto"/>
        <w:jc w:val="both"/>
        <w:rPr>
          <w:i/>
          <w:noProof/>
        </w:rPr>
      </w:pPr>
      <w:r>
        <w:rPr>
          <w:i/>
          <w:noProof/>
        </w:rPr>
        <w:t>Par likumprojektu "Grozījumi Kriminālprocesa likumā" VSS-814</w:t>
      </w:r>
    </w:p>
    <w:p w:rsidR="00B62EAB" w:rsidP="00B62EAB" w14:paraId="65A12F14" w14:textId="77777777">
      <w:pPr>
        <w:spacing w:after="0" w:line="240" w:lineRule="auto"/>
        <w:jc w:val="both"/>
        <w:rPr>
          <w:i/>
        </w:rPr>
      </w:pPr>
    </w:p>
    <w:p w:rsidR="00B62EAB" w:rsidP="00B62EAB" w14:paraId="7397EE0D" w14:textId="77777777">
      <w:pPr>
        <w:widowControl/>
        <w:tabs>
          <w:tab w:val="center" w:pos="851"/>
          <w:tab w:val="right" w:pos="8306"/>
        </w:tabs>
        <w:spacing w:after="0" w:line="288" w:lineRule="auto"/>
        <w:jc w:val="both"/>
      </w:pPr>
      <w:r>
        <w:rPr>
          <w:sz w:val="28"/>
          <w:szCs w:val="28"/>
        </w:rPr>
        <w:tab/>
      </w:r>
      <w:r>
        <w:rPr>
          <w:sz w:val="28"/>
          <w:szCs w:val="28"/>
        </w:rPr>
        <w:tab/>
      </w:r>
      <w:r>
        <w:t>Aizsardzības ministrija (turpmāk – AM) izvērtēja Tieslietu ministrijas sagatavoto likumprojektu “</w:t>
      </w:r>
      <w:r>
        <w:rPr>
          <w:rFonts w:eastAsia="Times New Roman"/>
        </w:rPr>
        <w:t>Grozījumi Kriminālprocesa likumā</w:t>
      </w:r>
      <w:r>
        <w:t>” (</w:t>
      </w:r>
      <w:r>
        <w:rPr>
          <w:rFonts w:eastAsia="Times New Roman"/>
        </w:rPr>
        <w:t>VSS-814</w:t>
      </w:r>
      <w:r>
        <w:t xml:space="preserve">) (turpmāk – Likumprojekts) un </w:t>
      </w:r>
      <w:r>
        <w:t>tā sākotnējās ietekmes</w:t>
      </w:r>
      <w:r>
        <w:t xml:space="preserve"> novērtējuma ziņojumu (anotāciju) un konceptuāli atbalsta likumprojekta tālāku virzību, vienlaikus izsakot turpmāk norādītos iebildumus.</w:t>
      </w:r>
    </w:p>
    <w:p w:rsidR="00B62EAB" w:rsidP="00B62EAB" w14:paraId="2694561F" w14:textId="77777777">
      <w:pPr>
        <w:widowControl/>
        <w:tabs>
          <w:tab w:val="center" w:pos="851"/>
          <w:tab w:val="right" w:pos="8306"/>
        </w:tabs>
        <w:spacing w:after="0" w:line="288" w:lineRule="auto"/>
        <w:jc w:val="both"/>
        <w:rPr>
          <w:rFonts w:eastAsia="Times New Roman"/>
        </w:rPr>
      </w:pPr>
      <w:r>
        <w:tab/>
      </w:r>
      <w:r>
        <w:tab/>
        <w:t xml:space="preserve">Likumprojekts paredz </w:t>
      </w:r>
      <w:r>
        <w:rPr>
          <w:rFonts w:eastAsia="Times New Roman"/>
        </w:rPr>
        <w:t xml:space="preserve">pilnveidot regulējumu attiecībā uz procesu par piespiedu ietekmēšanas līdzekļa piemērošanu juridiskajai personai, nosakot jaunu procesuālo sankciju veidu, tāpat izpildīt Valsts kontroles lietderības revīzijā </w:t>
      </w:r>
      <w:r>
        <w:t>“</w:t>
      </w:r>
      <w:r>
        <w:rPr>
          <w:rFonts w:eastAsia="Times New Roman"/>
        </w:rPr>
        <w:t>Noziedzīgu nodarījumu ekonomikas un finanšu jomā izmeklēšanas un iztiesāšanas efektivitāte</w:t>
      </w:r>
      <w:r>
        <w:t>”</w:t>
      </w:r>
      <w:r>
        <w:rPr>
          <w:rFonts w:eastAsia="Times New Roman"/>
        </w:rPr>
        <w:t xml:space="preserve"> ietverto priekšlikumu ieviešanas plānu, kā arī veikt citus nepieciešamos grozījumus, cita starpā, gadījumu, </w:t>
      </w:r>
      <w:r>
        <w:rPr>
          <w:rFonts w:eastAsia="Times New Roman"/>
        </w:rPr>
        <w:t>kad personas pratināšanā</w:t>
      </w:r>
      <w:r>
        <w:rPr>
          <w:rFonts w:eastAsia="Times New Roman"/>
        </w:rPr>
        <w:t xml:space="preserve"> var piedalīties persona, kurai ir tiesības uz aizstāvību.</w:t>
      </w:r>
    </w:p>
    <w:p w:rsidR="00B62EAB" w:rsidP="00B62EAB" w14:paraId="23B89E3B" w14:textId="77777777">
      <w:pPr>
        <w:widowControl/>
        <w:tabs>
          <w:tab w:val="center" w:pos="851"/>
          <w:tab w:val="right" w:pos="8306"/>
        </w:tabs>
        <w:spacing w:after="0" w:line="288" w:lineRule="auto"/>
        <w:jc w:val="both"/>
      </w:pPr>
      <w:r>
        <w:rPr>
          <w:rFonts w:eastAsia="Times New Roman"/>
        </w:rPr>
        <w:tab/>
      </w:r>
      <w:r>
        <w:tab/>
        <w:t xml:space="preserve">Iepazīstoties ar Likumprojektu un tā anotāciju par Kriminālprocesa likuma 146. panta un </w:t>
      </w:r>
      <w:r>
        <w:t>147.panta</w:t>
      </w:r>
      <w:r>
        <w:t xml:space="preserve"> grozījumiem – paredzot personai, kurai ir tiesības uz aizstāvību, piedalīties liecinošās personas pratināšanā  ar mērķi ievērot  personas tiesības uz  tiešu nopratināšanu tiesā, nav atbalstāma, jo  tiešu nopratināšanu tiesā no visām personām, kurām Kriminālprocesa likums nosaka tiesības uz aizstāvību, veic tikai  apsūdzētā persona. Jāpiebilst, ka veicot  izmeklēšanu sākuma stadijā ne vienmēr ir viennozīmīgi skaidrs, ka lieta nonāks līdz izskatīšanai tiesā. Kriminālprocesa likums paredz dažādus kriminālprocesa pabeigšanas veidus. Bez tam, pie šādiem apstākļiem, kad jau izmeklēšanas stadijā  persona, kurai tiesības uz aizstāvību (persona, pret kuru uzsākts kriminālprocess, un aizdomās turētais) piedalīsies liecinošās personas nopratināšanā, tiks pārkāpts Kriminālprocesa likuma 375. panta 3. daļā noteiktais, jo personas, kurai tiesības uz aizstāvību, rīcībā priekšlaicīgi – vēl aktīvas izmeklēšanas stadijā, nonāks informācija par kriminālprocesā iesaistīto personu, kas var būtiski ietekmēt tālāko pierādījumu ieguvi un nostiprināšanu.  Veicot šādus Kriminālprocesa likuma grozījumus ar mērķi ievērot Cilvēka tiesību un pamatbrīvību aizsardzības konvencijas 6. panta 3. punkta  d) apakšpunktā noteikto “ikvienam, kas tiek apsūdzēts kriminālnoziegumā, ir minimālas tiesības nopratināt vai būt nopratinājušam </w:t>
      </w:r>
      <w:r>
        <w:t>apsūdzības lieciniekus”, var tikt nepamatoti paplašināts tiesību piemērošanas princips attiecībā uz tiesības ieguvušiem subjektiem, jo minētā konvencija runā tieši par apsūdzētajiem, nevis par personām, pret kurām uzsākts kriminālprocess un/vai aizdomās turētajiem.</w:t>
      </w:r>
    </w:p>
    <w:p w:rsidR="00B62EAB" w:rsidP="00B62EAB" w14:paraId="7C9B1565" w14:textId="77777777">
      <w:pPr>
        <w:spacing w:after="0" w:line="288" w:lineRule="auto"/>
        <w:ind w:firstLine="720"/>
        <w:jc w:val="both"/>
      </w:pPr>
      <w:r>
        <w:t xml:space="preserve">Ņemot vērā minēto, AM neatbalsta grozījumus Kriminālprocesa likuma 146. un </w:t>
      </w:r>
      <w:r>
        <w:t>147.pantā</w:t>
      </w:r>
      <w:r>
        <w:t>.</w:t>
      </w:r>
    </w:p>
    <w:p w:rsidR="00B62EAB" w:rsidP="00B62EAB" w14:paraId="6490CD55" w14:textId="77777777">
      <w:pPr>
        <w:spacing w:after="0" w:line="288" w:lineRule="auto"/>
        <w:jc w:val="both"/>
      </w:pPr>
    </w:p>
    <w:p w:rsidR="00B62EAB" w:rsidP="00B62EAB" w14:paraId="222229A5" w14:textId="77777777">
      <w:pPr>
        <w:tabs>
          <w:tab w:val="left" w:pos="6663"/>
        </w:tabs>
        <w:spacing w:after="0" w:line="240" w:lineRule="auto"/>
        <w:jc w:val="both"/>
      </w:pPr>
    </w:p>
    <w:p w:rsidR="000F716B" w:rsidRPr="00661C8F" w:rsidP="00661C8F" w14:paraId="0BD0EFCE" w14:textId="77777777">
      <w:pPr>
        <w:tabs>
          <w:tab w:val="left" w:pos="6663"/>
        </w:tabs>
        <w:spacing w:after="0" w:line="240" w:lineRule="auto"/>
        <w:jc w:val="both"/>
      </w:pPr>
    </w:p>
    <w:p w:rsidR="007A2264" w:rsidRPr="0005708E" w:rsidP="00661C8F" w14:paraId="698C7A97" w14:textId="77777777">
      <w:pPr>
        <w:tabs>
          <w:tab w:val="left" w:pos="6663"/>
        </w:tabs>
        <w:spacing w:after="0" w:line="240" w:lineRule="auto"/>
        <w:jc w:val="both"/>
        <w:rPr>
          <w:b/>
          <w:noProof/>
        </w:rPr>
      </w:pPr>
      <w:r w:rsidRPr="0005708E">
        <w:rPr>
          <w:b/>
          <w:noProof/>
        </w:rPr>
        <w:t>Valsts sekretārs</w:t>
      </w:r>
      <w:r w:rsidRPr="0005708E">
        <w:rPr>
          <w:b/>
        </w:rPr>
        <w:tab/>
      </w:r>
      <w:r w:rsidRPr="0005708E">
        <w:rPr>
          <w:b/>
          <w:noProof/>
        </w:rPr>
        <w:t>Jānis Garisons</w:t>
      </w:r>
    </w:p>
    <w:p w:rsidR="00661C8F" w:rsidP="00661C8F" w14:paraId="4D47DB01" w14:textId="77777777">
      <w:pPr>
        <w:tabs>
          <w:tab w:val="left" w:pos="6663"/>
        </w:tabs>
        <w:spacing w:after="0" w:line="240" w:lineRule="auto"/>
        <w:jc w:val="both"/>
      </w:pPr>
    </w:p>
    <w:p w:rsidR="00430B72" w:rsidRPr="00661C8F" w:rsidP="00661C8F" w14:paraId="58A9A1A2" w14:textId="77777777">
      <w:pPr>
        <w:tabs>
          <w:tab w:val="left" w:pos="6663"/>
        </w:tabs>
        <w:spacing w:after="0" w:line="240" w:lineRule="auto"/>
        <w:jc w:val="both"/>
      </w:pPr>
    </w:p>
    <w:p w:rsidR="007A2264" w:rsidRPr="00661C8F" w:rsidP="00661C8F" w14:paraId="7EAAAFBF" w14:textId="77777777">
      <w:pPr>
        <w:spacing w:after="0" w:line="240" w:lineRule="auto"/>
        <w:jc w:val="both"/>
        <w:rPr>
          <w:sz w:val="16"/>
          <w:szCs w:val="16"/>
        </w:rPr>
      </w:pPr>
      <w:r w:rsidRPr="00661C8F">
        <w:rPr>
          <w:noProof/>
          <w:sz w:val="16"/>
          <w:szCs w:val="16"/>
        </w:rPr>
        <w:t>Daiga Ceiziņa</w:t>
      </w:r>
      <w:r w:rsidRPr="00661C8F">
        <w:rPr>
          <w:sz w:val="16"/>
          <w:szCs w:val="16"/>
        </w:rPr>
        <w:t xml:space="preserve">, </w:t>
      </w:r>
      <w:r w:rsidRPr="00661C8F">
        <w:rPr>
          <w:noProof/>
          <w:sz w:val="16"/>
          <w:szCs w:val="16"/>
        </w:rPr>
        <w:t>67335244</w:t>
      </w:r>
    </w:p>
    <w:p w:rsidR="00104688" w:rsidRPr="00661C8F" w:rsidP="00661C8F" w14:paraId="752521CD" w14:textId="77777777">
      <w:pPr>
        <w:spacing w:after="0" w:line="240" w:lineRule="auto"/>
        <w:jc w:val="both"/>
        <w:rPr>
          <w:sz w:val="16"/>
          <w:szCs w:val="16"/>
        </w:rPr>
      </w:pPr>
      <w:r w:rsidRPr="00661C8F">
        <w:rPr>
          <w:noProof/>
          <w:sz w:val="16"/>
          <w:szCs w:val="16"/>
        </w:rPr>
        <w:t>Daiga.Ceizina</w:t>
      </w:r>
      <w:r w:rsidR="00625B5E">
        <w:rPr>
          <w:noProof/>
          <w:sz w:val="16"/>
          <w:szCs w:val="16"/>
        </w:rPr>
        <w:t>@mod.gov.lv</w:t>
      </w:r>
    </w:p>
    <w:p w:rsidR="00661C8F" w:rsidRPr="00104688" w:rsidP="009775EE" w14:paraId="2C8EB993" w14:textId="77777777">
      <w:pPr>
        <w:widowControl/>
        <w:spacing w:after="0" w:line="240" w:lineRule="auto"/>
        <w:rPr>
          <w:sz w:val="16"/>
          <w:szCs w:val="16"/>
        </w:rPr>
      </w:pPr>
      <w:bookmarkStart w:id="0" w:name="_GoBack"/>
      <w:bookmarkEnd w:id="0"/>
    </w:p>
    <w:sectPr w:rsidSect="00330D43">
      <w:footerReference w:type="default" r:id="rId4"/>
      <w:headerReference w:type="first" r:id="rId5"/>
      <w:footerReference w:type="first" r:id="rId6"/>
      <w:type w:val="continuous"/>
      <w:pgSz w:w="11920" w:h="16840"/>
      <w:pgMar w:top="1134" w:right="851"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PS-ItalicMT">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540585"/>
      <w:docPartObj>
        <w:docPartGallery w:val="Page Numbers (Bottom of Page)"/>
        <w:docPartUnique/>
      </w:docPartObj>
    </w:sdtPr>
    <w:sdtContent>
      <w:p w:rsidR="00B50025" w:rsidP="00B50025" w14:paraId="0CC082BB" w14:textId="0592DE32">
        <w:pPr>
          <w:pStyle w:val="Footer"/>
        </w:pPr>
        <w:r>
          <w:t>AIMatz_130921_VSS814</w:t>
        </w:r>
      </w:p>
      <w:p w:rsidR="00104688" w:rsidP="00104688" w14:paraId="5F37798D" w14:textId="1C769861">
        <w:pPr>
          <w:pStyle w:val="Footer"/>
          <w:jc w:val="center"/>
        </w:pPr>
        <w:r w:rsidRPr="002D7FAB">
          <w:rPr>
            <w:rFonts w:ascii="TimesNewRomanPS-ItalicMT" w:hAnsi="TimesNewRomanPS-ItalicMT"/>
            <w:iCs/>
            <w:sz w:val="20"/>
            <w:szCs w:val="20"/>
          </w:rPr>
          <w:t>DOKUMENTS IR ELEKTRONISKI PARAKSTĪTS AR DROŠU ELEKTRONISKO PARAKSTU UN SATUR LAIKA ZĪMOGU</w:t>
        </w:r>
      </w:p>
      <w:p w:rsidR="00104688" w:rsidRPr="00104688" w:rsidP="00104688" w14:paraId="6E3EFBE6" w14:textId="363D8A25">
        <w:pPr>
          <w:pStyle w:val="Footer"/>
          <w:jc w:val="right"/>
          <w:rPr>
            <w:bCs/>
          </w:rPr>
        </w:pPr>
        <w:sdt>
          <w:sdtPr>
            <w:id w:val="2132407173"/>
            <w:docPartObj>
              <w:docPartGallery w:val="Page Numbers (Top of Page)"/>
              <w:docPartUnique/>
            </w:docPartObj>
          </w:sdtPr>
          <w:sdtContent>
            <w:r w:rsidRPr="00104688" w:rsidR="00B62EAB">
              <w:rPr>
                <w:bCs/>
              </w:rPr>
              <w:fldChar w:fldCharType="begin"/>
            </w:r>
            <w:r w:rsidRPr="00104688" w:rsidR="00B62EAB">
              <w:rPr>
                <w:bCs/>
              </w:rPr>
              <w:instrText xml:space="preserve"> PAGE </w:instrText>
            </w:r>
            <w:r w:rsidRPr="00104688" w:rsidR="00B62EAB">
              <w:rPr>
                <w:bCs/>
              </w:rPr>
              <w:fldChar w:fldCharType="separate"/>
            </w:r>
            <w:r w:rsidRPr="00104688" w:rsidR="00B62EAB">
              <w:rPr>
                <w:bCs/>
              </w:rPr>
              <w:t>2</w:t>
            </w:r>
            <w:r w:rsidRPr="00104688" w:rsidR="00B62EAB">
              <w:rPr>
                <w:bCs/>
              </w:rPr>
              <w:fldChar w:fldCharType="end"/>
            </w:r>
            <w:r w:rsidRPr="00104688" w:rsidR="00B62EAB">
              <w:t xml:space="preserve"> - </w:t>
            </w:r>
            <w:r w:rsidRPr="00104688" w:rsidR="00B62EAB">
              <w:rPr>
                <w:bCs/>
              </w:rPr>
              <w:fldChar w:fldCharType="begin"/>
            </w:r>
            <w:r w:rsidRPr="00104688" w:rsidR="00B62EAB">
              <w:rPr>
                <w:bCs/>
              </w:rPr>
              <w:instrText xml:space="preserve"> NUMPAGES  </w:instrText>
            </w:r>
            <w:r w:rsidRPr="00104688" w:rsidR="00B62EAB">
              <w:rPr>
                <w:bCs/>
              </w:rPr>
              <w:fldChar w:fldCharType="separate"/>
            </w:r>
            <w:r w:rsidRPr="00104688" w:rsidR="00B62EAB">
              <w:rPr>
                <w:bCs/>
              </w:rPr>
              <w:t>2</w:t>
            </w:r>
            <w:r w:rsidRPr="00104688" w:rsidR="00B62EAB">
              <w:rPr>
                <w:bCs/>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280" w14:paraId="3A4D8B57" w14:textId="689A55FB">
    <w:pPr>
      <w:pStyle w:val="Footer"/>
    </w:pPr>
    <w:r>
      <w:t>AIMatz_130921_VSS814</w:t>
    </w:r>
  </w:p>
  <w:p w:rsidR="00B50025" w:rsidP="00B50025" w14:paraId="721C26B6" w14:textId="77777777">
    <w:pPr>
      <w:pStyle w:val="Footer"/>
      <w:jc w:val="center"/>
    </w:pPr>
    <w:r w:rsidRPr="002D7FAB">
      <w:rPr>
        <w:rFonts w:ascii="TimesNewRomanPS-ItalicMT" w:hAnsi="TimesNewRomanPS-ItalicMT"/>
        <w:iCs/>
        <w:sz w:val="20"/>
        <w:szCs w:val="20"/>
      </w:rPr>
      <w:t>DOKUMENTS IR ELEKTRONISKI PARAKSTĪTS AR DROŠU ELEKTRONISKO PARAKSTU UN SATUR LAIKA ZĪMOGU</w:t>
    </w:r>
  </w:p>
  <w:p w:rsidR="005D2424" w:rsidRPr="00661C8F" w:rsidP="00661C8F" w14:paraId="4333CA00" w14:textId="6D964E7A">
    <w:pPr>
      <w:spacing w:after="0" w:line="240" w:lineRule="auto"/>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B61" w:rsidP="00BE56C2" w14:paraId="57E03429" w14:textId="77777777">
    <w:pPr>
      <w:pStyle w:val="Header"/>
      <w:tabs>
        <w:tab w:val="clear" w:pos="4320"/>
      </w:tabs>
      <w:spacing w:before="2880"/>
    </w:pPr>
  </w:p>
  <w:tbl>
    <w:tblPr>
      <w:tblW w:w="7796" w:type="dxa"/>
      <w:tblInd w:w="-142" w:type="dxa"/>
      <w:tblLayout w:type="fixed"/>
      <w:tblLook w:val="0000"/>
    </w:tblPr>
    <w:tblGrid>
      <w:gridCol w:w="3969"/>
      <w:gridCol w:w="3827"/>
    </w:tblGrid>
    <w:tr w14:paraId="11A10B40" w14:textId="77777777" w:rsidTr="006C25E2">
      <w:tblPrEx>
        <w:tblW w:w="7796" w:type="dxa"/>
        <w:tblInd w:w="-142" w:type="dxa"/>
        <w:tblLayout w:type="fixed"/>
        <w:tblLook w:val="0000"/>
      </w:tblPrEx>
      <w:trPr>
        <w:cantSplit/>
      </w:trPr>
      <w:tc>
        <w:tcPr>
          <w:tcW w:w="3969" w:type="dxa"/>
        </w:tcPr>
        <w:p w:rsidR="009C426E" w:rsidRPr="00C56EDF" w:rsidP="00DD3458" w14:paraId="4F3DEBF3" w14:textId="77777777">
          <w:pPr>
            <w:pStyle w:val="Header"/>
            <w:tabs>
              <w:tab w:val="clear" w:pos="4320"/>
            </w:tabs>
            <w:spacing w:before="120"/>
            <w:rPr>
              <w:color w:val="000000"/>
              <w:lang w:eastAsia="en-US"/>
            </w:rPr>
          </w:pPr>
          <w:r w:rsidRPr="006C25E2">
            <w:rPr>
              <w:color w:val="000000"/>
              <w:lang w:eastAsia="en-US"/>
            </w:rPr>
            <w:t xml:space="preserve">Rīgā, </w:t>
          </w:r>
          <w:r w:rsidR="00857297">
            <w:rPr>
              <w:noProof/>
              <w:color w:val="000000"/>
              <w:lang w:eastAsia="en-US"/>
            </w:rPr>
            <w:t>13.09.2021</w:t>
          </w:r>
          <w:r w:rsidRPr="006C25E2">
            <w:rPr>
              <w:color w:val="000000"/>
              <w:lang w:eastAsia="en-US"/>
            </w:rPr>
            <w:t>.</w:t>
          </w:r>
        </w:p>
      </w:tc>
      <w:tc>
        <w:tcPr>
          <w:tcW w:w="3827" w:type="dxa"/>
        </w:tcPr>
        <w:p w:rsidR="009C426E" w:rsidRPr="0099125D" w:rsidP="00DD3458" w14:paraId="1591B387" w14:textId="77777777">
          <w:pPr>
            <w:pStyle w:val="Header"/>
            <w:tabs>
              <w:tab w:val="clear" w:pos="4320"/>
            </w:tabs>
            <w:spacing w:before="120"/>
            <w:rPr>
              <w:color w:val="000000"/>
              <w:lang w:val="en-US" w:eastAsia="en-US"/>
            </w:rPr>
          </w:pPr>
          <w:r>
            <w:rPr>
              <w:color w:val="000000"/>
              <w:lang w:val="en-US" w:eastAsia="en-US"/>
            </w:rPr>
            <w:t>Nr</w:t>
          </w:r>
          <w:r>
            <w:rPr>
              <w:color w:val="000000"/>
              <w:lang w:val="en-US" w:eastAsia="en-US"/>
            </w:rPr>
            <w:t xml:space="preserve">. </w:t>
          </w:r>
          <w:r>
            <w:rPr>
              <w:noProof/>
              <w:color w:val="000000"/>
              <w:lang w:val="en-US" w:eastAsia="en-US"/>
            </w:rPr>
            <w:t>MV-N/2337</w:t>
          </w:r>
        </w:p>
      </w:tc>
    </w:tr>
  </w:tbl>
  <w:p w:rsidR="009C426E" w:rsidRPr="008669E5" w:rsidP="005B7C76" w14:paraId="6A395B7B" w14:textId="77777777">
    <w:pPr>
      <w:pStyle w:val="Header"/>
      <w:tabs>
        <w:tab w:val="left" w:pos="3969"/>
        <w:tab w:val="clear" w:pos="4320"/>
      </w:tabs>
      <w:spacing w:before="120"/>
    </w:pPr>
    <w:r w:rsidRPr="008669E5">
      <w:rPr>
        <w:noProof/>
      </w:rPr>
      <w:drawing>
        <wp:anchor distT="0" distB="0" distL="114300" distR="114300" simplePos="0" relativeHeight="251658240" behindDoc="1" locked="0" layoutInCell="1" allowOverlap="1">
          <wp:simplePos x="0" y="0"/>
          <wp:positionH relativeFrom="page">
            <wp:posOffset>1094740</wp:posOffset>
          </wp:positionH>
          <wp:positionV relativeFrom="page">
            <wp:posOffset>647700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8669E5">
      <w:rPr>
        <w:noProof/>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2049780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9A40B4" w:rsidRPr="008669E5" w:rsidP="009A40B4"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w:t>
                          </w:r>
                          <w:r w:rsidRPr="008669E5">
                            <w:rPr>
                              <w:rFonts w:eastAsia="Times New Roman"/>
                              <w:color w:val="231F20"/>
                              <w:sz w:val="17"/>
                              <w:szCs w:val="17"/>
                            </w:rPr>
                            <w:t>kanceleja@mod.gov.lv</w:t>
                          </w:r>
                          <w:r w:rsidR="00242216">
                            <w:rPr>
                              <w:rFonts w:eastAsia="Times New Roman"/>
                              <w:color w:val="231F20"/>
                              <w:sz w:val="17"/>
                              <w:szCs w:val="17"/>
                            </w:rPr>
                            <w:t>;</w:t>
                          </w:r>
                          <w:r w:rsidRPr="008669E5">
                            <w:rPr>
                              <w:rFonts w:eastAsia="Times New Roman"/>
                              <w:color w:val="231F20"/>
                              <w:sz w:val="17"/>
                              <w:szCs w:val="17"/>
                            </w:rPr>
                            <w:t xml:space="preserve"> </w:t>
                          </w:r>
                          <w:r w:rsidRPr="008669E5">
                            <w:rPr>
                              <w:rFonts w:eastAsia="Times New Roman"/>
                              <w:color w:val="231F20"/>
                              <w:sz w:val="17"/>
                              <w:szCs w:val="17"/>
                            </w:rPr>
                            <w:t>www.mod.gov.lv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61.4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9A40B4" w:rsidRPr="008669E5" w:rsidP="009A40B4" w14:paraId="5E13316D"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242216">
                      <w:rPr>
                        <w:rFonts w:eastAsia="Times New Roman"/>
                        <w:color w:val="231F20"/>
                        <w:sz w:val="17"/>
                        <w:szCs w:val="17"/>
                      </w:rPr>
                      <w:t>emāra iela 10/12, Rīga, LV-1473;</w:t>
                    </w:r>
                    <w:r w:rsidRPr="008669E5">
                      <w:rPr>
                        <w:rFonts w:eastAsia="Times New Roman"/>
                        <w:color w:val="231F20"/>
                        <w:sz w:val="17"/>
                        <w:szCs w:val="17"/>
                      </w:rPr>
                      <w:t xml:space="preserve"> tālr.</w:t>
                    </w:r>
                    <w:r w:rsidR="00242216">
                      <w:rPr>
                        <w:rFonts w:eastAsia="Times New Roman"/>
                        <w:color w:val="231F20"/>
                        <w:sz w:val="17"/>
                        <w:szCs w:val="17"/>
                      </w:rPr>
                      <w:t>:</w:t>
                    </w:r>
                    <w:r w:rsidRPr="008669E5">
                      <w:rPr>
                        <w:rFonts w:eastAsia="Times New Roman"/>
                        <w:color w:val="231F20"/>
                        <w:sz w:val="17"/>
                        <w:szCs w:val="17"/>
                      </w:rPr>
                      <w:t xml:space="preserve"> 67210124</w:t>
                    </w:r>
                    <w:r w:rsidR="00242216">
                      <w:rPr>
                        <w:rFonts w:eastAsia="Times New Roman"/>
                        <w:color w:val="231F20"/>
                        <w:sz w:val="17"/>
                        <w:szCs w:val="17"/>
                      </w:rPr>
                      <w:t>;</w:t>
                    </w:r>
                    <w:r w:rsidRPr="008669E5">
                      <w:rPr>
                        <w:rFonts w:eastAsia="Times New Roman"/>
                        <w:color w:val="231F20"/>
                        <w:sz w:val="17"/>
                        <w:szCs w:val="17"/>
                      </w:rPr>
                      <w:t xml:space="preserve"> e-pasts</w:t>
                    </w:r>
                    <w:r w:rsidR="00242216">
                      <w:rPr>
                        <w:rFonts w:eastAsia="Times New Roman"/>
                        <w:color w:val="231F20"/>
                        <w:sz w:val="17"/>
                        <w:szCs w:val="17"/>
                      </w:rPr>
                      <w:t>:</w:t>
                    </w:r>
                    <w:r w:rsidRPr="008669E5">
                      <w:rPr>
                        <w:rFonts w:eastAsia="Times New Roman"/>
                        <w:color w:val="231F20"/>
                        <w:sz w:val="17"/>
                        <w:szCs w:val="17"/>
                      </w:rPr>
                      <w:t xml:space="preserve"> </w:t>
                    </w:r>
                    <w:r w:rsidRPr="008669E5">
                      <w:rPr>
                        <w:rFonts w:eastAsia="Times New Roman"/>
                        <w:color w:val="231F20"/>
                        <w:sz w:val="17"/>
                        <w:szCs w:val="17"/>
                      </w:rPr>
                      <w:t>kanceleja@mod.gov.lv</w:t>
                    </w:r>
                    <w:r w:rsidR="00242216">
                      <w:rPr>
                        <w:rFonts w:eastAsia="Times New Roman"/>
                        <w:color w:val="231F20"/>
                        <w:sz w:val="17"/>
                        <w:szCs w:val="17"/>
                      </w:rPr>
                      <w:t>;</w:t>
                    </w:r>
                    <w:r w:rsidRPr="008669E5">
                      <w:rPr>
                        <w:rFonts w:eastAsia="Times New Roman"/>
                        <w:color w:val="231F20"/>
                        <w:sz w:val="17"/>
                        <w:szCs w:val="17"/>
                      </w:rPr>
                      <w:t xml:space="preserve"> </w:t>
                    </w:r>
                    <w:r w:rsidRPr="008669E5">
                      <w:rPr>
                        <w:rFonts w:eastAsia="Times New Roman"/>
                        <w:color w:val="231F20"/>
                        <w:sz w:val="17"/>
                        <w:szCs w:val="17"/>
                      </w:rPr>
                      <w:t>www.mod.gov.lv</w:t>
                    </w:r>
                  </w:p>
                </w:txbxContent>
              </v:textbox>
            </v:shape>
          </w:pict>
        </mc:Fallback>
      </mc:AlternateContent>
    </w:r>
    <w:r w:rsidRPr="008669E5">
      <w:rPr>
        <w:noProof/>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r w:rsidR="009C426E">
      <w:t xml:space="preserve">Uz </w:t>
    </w:r>
    <w:r w:rsidR="009C426E">
      <w:rPr>
        <w:noProof/>
      </w:rPr>
      <w:t>26.08.2021</w:t>
    </w:r>
    <w:r w:rsidR="006C25E2">
      <w:t>.</w:t>
    </w:r>
    <w:r w:rsidR="005B7C76">
      <w:tab/>
    </w:r>
    <w:r w:rsidR="009C426E">
      <w:t xml:space="preserve">Nr. </w:t>
    </w:r>
    <w:r w:rsidR="009C426E">
      <w:rPr>
        <w:noProof/>
      </w:rPr>
      <w:t>VSS-814/30</w:t>
    </w:r>
    <w:r w:rsidR="009775EE">
      <w:rPr>
        <w:noProof/>
      </w:rPr>
      <w:t>/24.par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264"/>
    <w:rsid w:val="00006384"/>
    <w:rsid w:val="00030349"/>
    <w:rsid w:val="0005708E"/>
    <w:rsid w:val="000903C4"/>
    <w:rsid w:val="000A0B61"/>
    <w:rsid w:val="000F716B"/>
    <w:rsid w:val="00104688"/>
    <w:rsid w:val="00124173"/>
    <w:rsid w:val="001D79E4"/>
    <w:rsid w:val="00242216"/>
    <w:rsid w:val="00265D4A"/>
    <w:rsid w:val="00275B9E"/>
    <w:rsid w:val="00290B9D"/>
    <w:rsid w:val="002B3077"/>
    <w:rsid w:val="002D7FAB"/>
    <w:rsid w:val="002E1474"/>
    <w:rsid w:val="002E75AE"/>
    <w:rsid w:val="0032508F"/>
    <w:rsid w:val="00330D43"/>
    <w:rsid w:val="003B48FB"/>
    <w:rsid w:val="00430B72"/>
    <w:rsid w:val="004B29B1"/>
    <w:rsid w:val="004D5726"/>
    <w:rsid w:val="004F08C0"/>
    <w:rsid w:val="00535564"/>
    <w:rsid w:val="0059237D"/>
    <w:rsid w:val="005B7C76"/>
    <w:rsid w:val="005D2424"/>
    <w:rsid w:val="00625B5E"/>
    <w:rsid w:val="00661C8F"/>
    <w:rsid w:val="00663C3A"/>
    <w:rsid w:val="00693999"/>
    <w:rsid w:val="006A0280"/>
    <w:rsid w:val="006C1639"/>
    <w:rsid w:val="006C25E2"/>
    <w:rsid w:val="006C416D"/>
    <w:rsid w:val="006E01E7"/>
    <w:rsid w:val="0073633D"/>
    <w:rsid w:val="007A2264"/>
    <w:rsid w:val="007A521E"/>
    <w:rsid w:val="007B3BA5"/>
    <w:rsid w:val="007B48EC"/>
    <w:rsid w:val="007C0E80"/>
    <w:rsid w:val="007E4D1F"/>
    <w:rsid w:val="00815277"/>
    <w:rsid w:val="00857297"/>
    <w:rsid w:val="008669E5"/>
    <w:rsid w:val="00876C21"/>
    <w:rsid w:val="008C195B"/>
    <w:rsid w:val="008D4AF3"/>
    <w:rsid w:val="00954D5A"/>
    <w:rsid w:val="009775EE"/>
    <w:rsid w:val="0099125D"/>
    <w:rsid w:val="00991466"/>
    <w:rsid w:val="009A40B4"/>
    <w:rsid w:val="009C426E"/>
    <w:rsid w:val="009D0F72"/>
    <w:rsid w:val="00A03A13"/>
    <w:rsid w:val="00A30D47"/>
    <w:rsid w:val="00AA712C"/>
    <w:rsid w:val="00AC3B5D"/>
    <w:rsid w:val="00AF0E90"/>
    <w:rsid w:val="00B50025"/>
    <w:rsid w:val="00B62EAB"/>
    <w:rsid w:val="00BE56C2"/>
    <w:rsid w:val="00C47F57"/>
    <w:rsid w:val="00C56EDF"/>
    <w:rsid w:val="00CA407F"/>
    <w:rsid w:val="00D0743C"/>
    <w:rsid w:val="00D21FA6"/>
    <w:rsid w:val="00D55B4B"/>
    <w:rsid w:val="00DD3458"/>
    <w:rsid w:val="00E330D3"/>
    <w:rsid w:val="00E365CE"/>
    <w:rsid w:val="00E85884"/>
    <w:rsid w:val="00EA5DAF"/>
    <w:rsid w:val="00EF676E"/>
    <w:rsid w:val="00F25DA3"/>
    <w:rsid w:val="00F60586"/>
    <w:rsid w:val="00F82FDF"/>
    <w:rsid w:val="00FB2E50"/>
    <w:rsid w:val="00FF0EE8"/>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31B9821A"/>
  <w15:docId w15:val="{7798B06E-E6E6-4E18-92F7-84F9DC20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264"/>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eader" Target="head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1777</Words>
  <Characters>1013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Ingus Tonnis</dc:creator>
  <cp:lastModifiedBy>Daiga Ceiziņa</cp:lastModifiedBy>
  <cp:revision>16</cp:revision>
  <cp:lastPrinted>2014-12-29T13:31:00Z</cp:lastPrinted>
  <dcterms:created xsi:type="dcterms:W3CDTF">2018-10-30T09:45:00Z</dcterms:created>
  <dcterms:modified xsi:type="dcterms:W3CDTF">2021-09-13T10:26:00Z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