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CellMar>
          <w:left w:w="0" w:type="dxa"/>
          <w:right w:w="0" w:type="dxa"/>
        </w:tblCellMar>
        <w:tblLook w:val="00A0" w:firstRow="1" w:lastRow="0" w:firstColumn="1" w:lastColumn="0" w:noHBand="0" w:noVBand="0"/>
      </w:tblPr>
      <w:tblGrid>
        <w:gridCol w:w="5669"/>
        <w:gridCol w:w="3402"/>
      </w:tblGrid>
      <w:tr w:rsidR="005D4A48" w14:paraId="1B70875E" w14:textId="77777777" w:rsidTr="005D4A48">
        <w:tc>
          <w:tcPr>
            <w:tcW w:w="3125" w:type="pct"/>
          </w:tcPr>
          <w:p w14:paraId="0A3CDE41" w14:textId="77777777" w:rsidR="005D4A48" w:rsidRDefault="005D4A48" w:rsidP="005D4A48">
            <w:pPr>
              <w:keepLines/>
              <w:autoSpaceDE w:val="0"/>
              <w:autoSpaceDN w:val="0"/>
              <w:adjustRightInd w:val="0"/>
              <w:spacing w:after="0" w:line="400" w:lineRule="auto"/>
              <w:ind w:right="113"/>
              <w:rPr>
                <w:rFonts w:ascii="Times New Roman" w:hAnsi="Times New Roman" w:cs="Times New Roman"/>
                <w:color w:val="000000"/>
                <w:sz w:val="24"/>
                <w:szCs w:val="24"/>
              </w:rPr>
            </w:pPr>
            <w:bookmarkStart w:id="0" w:name="_GoBack"/>
            <w:bookmarkEnd w:id="0"/>
            <w:r>
              <w:rPr>
                <w:rFonts w:ascii="Times New Roman" w:hAnsi="Times New Roman" w:cs="Times New Roman"/>
                <w:color w:val="000000"/>
                <w:sz w:val="24"/>
                <w:szCs w:val="24"/>
              </w:rPr>
              <w:t>Rīgā</w:t>
            </w:r>
          </w:p>
          <w:p w14:paraId="5C2724A6" w14:textId="77777777" w:rsidR="005D4A48" w:rsidRDefault="005D4A48" w:rsidP="005D4A48">
            <w:pPr>
              <w:keepLines/>
              <w:autoSpaceDE w:val="0"/>
              <w:autoSpaceDN w:val="0"/>
              <w:adjustRightInd w:val="0"/>
              <w:spacing w:after="0" w:line="240" w:lineRule="auto"/>
              <w:ind w:right="113"/>
              <w:rPr>
                <w:rFonts w:ascii="Times New Roman" w:hAnsi="Times New Roman" w:cs="Times New Roman"/>
                <w:color w:val="000000"/>
                <w:sz w:val="24"/>
                <w:szCs w:val="24"/>
              </w:rPr>
            </w:pPr>
            <w:r>
              <w:rPr>
                <w:rFonts w:ascii="Times New Roman" w:hAnsi="Times New Roman" w:cs="Times New Roman"/>
                <w:color w:val="000000"/>
                <w:sz w:val="24"/>
                <w:szCs w:val="24"/>
              </w:rPr>
              <w:t>Datumu skatīt dokumenta paraksta laika zīmogā.</w:t>
            </w:r>
          </w:p>
          <w:p w14:paraId="64B5E79E" w14:textId="77777777" w:rsidR="005D4A48" w:rsidRDefault="005D4A48" w:rsidP="005D4A48">
            <w:pPr>
              <w:keepLines/>
              <w:autoSpaceDE w:val="0"/>
              <w:autoSpaceDN w:val="0"/>
              <w:adjustRightInd w:val="0"/>
              <w:spacing w:after="0" w:line="240" w:lineRule="auto"/>
              <w:ind w:right="113"/>
              <w:rPr>
                <w:rFonts w:ascii="Times New Roman" w:hAnsi="Times New Roman" w:cs="Times New Roman"/>
                <w:color w:val="000000"/>
                <w:sz w:val="24"/>
                <w:szCs w:val="24"/>
              </w:rPr>
            </w:pPr>
            <w:r>
              <w:rPr>
                <w:rFonts w:ascii="Times New Roman" w:hAnsi="Times New Roman" w:cs="Times New Roman"/>
                <w:color w:val="000000"/>
                <w:sz w:val="24"/>
                <w:szCs w:val="24"/>
              </w:rPr>
              <w:t xml:space="preserve">Reģistrācijas numuru skatīt pievienotajā failā </w:t>
            </w:r>
            <w:proofErr w:type="spellStart"/>
            <w:r>
              <w:rPr>
                <w:rFonts w:ascii="Times New Roman" w:hAnsi="Times New Roman" w:cs="Times New Roman"/>
                <w:color w:val="000000"/>
                <w:sz w:val="24"/>
                <w:szCs w:val="24"/>
              </w:rPr>
              <w:t>Registracijas_numurs</w:t>
            </w:r>
            <w:proofErr w:type="spellEnd"/>
          </w:p>
          <w:p w14:paraId="31838725" w14:textId="77777777" w:rsidR="005D4A48" w:rsidRDefault="005D4A48" w:rsidP="005D4A48">
            <w:pPr>
              <w:keepLines/>
              <w:autoSpaceDE w:val="0"/>
              <w:autoSpaceDN w:val="0"/>
              <w:adjustRightInd w:val="0"/>
              <w:spacing w:after="0" w:line="240" w:lineRule="auto"/>
              <w:ind w:right="113"/>
              <w:rPr>
                <w:rFonts w:ascii="Times New Roman" w:hAnsi="Times New Roman" w:cs="Times New Roman"/>
                <w:color w:val="000000"/>
                <w:sz w:val="24"/>
                <w:szCs w:val="24"/>
              </w:rPr>
            </w:pPr>
            <w:r>
              <w:rPr>
                <w:rFonts w:ascii="Times New Roman" w:hAnsi="Times New Roman" w:cs="Times New Roman"/>
                <w:color w:val="000000"/>
                <w:sz w:val="24"/>
                <w:szCs w:val="24"/>
              </w:rPr>
              <w:t>Uz 06.04.2021. Nr. 3.3-8.2021/2643N</w:t>
            </w:r>
            <w:r>
              <w:rPr>
                <w:rFonts w:ascii="Times New Roman" w:hAnsi="Times New Roman" w:cs="Times New Roman"/>
                <w:color w:val="000000"/>
                <w:sz w:val="24"/>
                <w:szCs w:val="24"/>
              </w:rPr>
              <w:br/>
              <w:t>06.04.2021. Nr. 3.3-8/2021/2642N</w:t>
            </w:r>
          </w:p>
        </w:tc>
        <w:tc>
          <w:tcPr>
            <w:tcW w:w="1875" w:type="pct"/>
          </w:tcPr>
          <w:p w14:paraId="1DE45BC1" w14:textId="77777777" w:rsidR="005D4A48" w:rsidRDefault="005D4A48" w:rsidP="005D4A48">
            <w:pPr>
              <w:keepLines/>
              <w:autoSpaceDE w:val="0"/>
              <w:autoSpaceDN w:val="0"/>
              <w:adjustRightInd w:val="0"/>
              <w:spacing w:after="0" w:line="240" w:lineRule="auto"/>
              <w:jc w:val="right"/>
              <w:rPr>
                <w:rFonts w:ascii="Times New Roman" w:hAnsi="Times New Roman" w:cs="Times New Roman"/>
                <w:color w:val="000000"/>
                <w:sz w:val="24"/>
                <w:szCs w:val="24"/>
              </w:rPr>
            </w:pPr>
          </w:p>
          <w:p w14:paraId="5CA0AF43" w14:textId="77777777" w:rsidR="005D4A48" w:rsidRDefault="005D4A48" w:rsidP="005D4A48">
            <w:pPr>
              <w:keepLines/>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Ekonomikas ministrija</w:t>
            </w:r>
            <w:r>
              <w:rPr>
                <w:rFonts w:ascii="Times New Roman" w:hAnsi="Times New Roman" w:cs="Times New Roman"/>
                <w:color w:val="000000"/>
                <w:sz w:val="24"/>
                <w:szCs w:val="24"/>
              </w:rPr>
              <w:br/>
              <w:t>Brīvības iela 55</w:t>
            </w:r>
            <w:r>
              <w:rPr>
                <w:rFonts w:ascii="Times New Roman" w:hAnsi="Times New Roman" w:cs="Times New Roman"/>
                <w:color w:val="000000"/>
                <w:sz w:val="24"/>
                <w:szCs w:val="24"/>
              </w:rPr>
              <w:br/>
              <w:t>Rīga, LV-1519</w:t>
            </w:r>
          </w:p>
        </w:tc>
      </w:tr>
    </w:tbl>
    <w:p w14:paraId="4705D573" w14:textId="77777777" w:rsidR="005D4A48" w:rsidRDefault="005D4A48" w:rsidP="005D4A48">
      <w:pPr>
        <w:autoSpaceDE w:val="0"/>
        <w:autoSpaceDN w:val="0"/>
        <w:adjustRightInd w:val="0"/>
        <w:spacing w:after="0" w:line="240" w:lineRule="auto"/>
        <w:rPr>
          <w:rFonts w:ascii="Times New Roman" w:hAnsi="Times New Roman" w:cs="Times New Roman"/>
          <w:color w:val="000000"/>
          <w:sz w:val="24"/>
          <w:szCs w:val="24"/>
        </w:rPr>
      </w:pPr>
    </w:p>
    <w:tbl>
      <w:tblPr>
        <w:tblW w:w="5000" w:type="pct"/>
        <w:tblCellMar>
          <w:left w:w="0" w:type="dxa"/>
          <w:right w:w="0" w:type="dxa"/>
        </w:tblCellMar>
        <w:tblLook w:val="00A0" w:firstRow="1" w:lastRow="0" w:firstColumn="1" w:lastColumn="0" w:noHBand="0" w:noVBand="0"/>
      </w:tblPr>
      <w:tblGrid>
        <w:gridCol w:w="9071"/>
      </w:tblGrid>
      <w:tr w:rsidR="005D4A48" w14:paraId="67C92B4B" w14:textId="77777777" w:rsidTr="005D4A48">
        <w:tc>
          <w:tcPr>
            <w:tcW w:w="5000" w:type="pct"/>
          </w:tcPr>
          <w:p w14:paraId="45DA6E60" w14:textId="77777777" w:rsidR="005D4A48" w:rsidRDefault="005D4A48" w:rsidP="005D4A48">
            <w:pPr>
              <w:keepLine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Par Ministru kabineta noteikumu projektiem (VSS-37, VSS-38)</w:t>
            </w:r>
          </w:p>
        </w:tc>
      </w:tr>
    </w:tbl>
    <w:p w14:paraId="2B8ED4F5" w14:textId="77777777" w:rsidR="005D4A48" w:rsidRDefault="005D4A48" w:rsidP="005D4A48">
      <w:pPr>
        <w:autoSpaceDE w:val="0"/>
        <w:autoSpaceDN w:val="0"/>
        <w:adjustRightInd w:val="0"/>
        <w:spacing w:after="0" w:line="240" w:lineRule="auto"/>
        <w:jc w:val="both"/>
        <w:rPr>
          <w:rFonts w:ascii="Times New Roman" w:hAnsi="Times New Roman" w:cs="Times New Roman"/>
          <w:color w:val="000000"/>
          <w:sz w:val="24"/>
          <w:szCs w:val="24"/>
        </w:rPr>
      </w:pPr>
    </w:p>
    <w:tbl>
      <w:tblPr>
        <w:tblW w:w="5000" w:type="pct"/>
        <w:tblCellMar>
          <w:left w:w="0" w:type="dxa"/>
          <w:right w:w="0" w:type="dxa"/>
        </w:tblCellMar>
        <w:tblLook w:val="00A0" w:firstRow="1" w:lastRow="0" w:firstColumn="1" w:lastColumn="0" w:noHBand="0" w:noVBand="0"/>
      </w:tblPr>
      <w:tblGrid>
        <w:gridCol w:w="9071"/>
      </w:tblGrid>
      <w:tr w:rsidR="005D4A48" w14:paraId="55103387" w14:textId="77777777" w:rsidTr="005D4A48">
        <w:tc>
          <w:tcPr>
            <w:tcW w:w="5000" w:type="pct"/>
          </w:tcPr>
          <w:p w14:paraId="218C8662" w14:textId="77777777" w:rsidR="005D4A48" w:rsidRDefault="005D4A48" w:rsidP="005D4A48">
            <w:pPr>
              <w:keepLines/>
              <w:autoSpaceDE w:val="0"/>
              <w:autoSpaceDN w:val="0"/>
              <w:adjustRightInd w:val="0"/>
              <w:spacing w:after="24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SIA “Enerģijas publiskais tirgotājs” (turpmāk – EPT) ir iepazinusies ar Ekonomikas ministrijas 2021.gada 6.aprīlī atkārtotai saskaņošanai atsūtīt precizēto Ministru kabineta noteikumu projektu “Grozījumi Ministru kabineta 2020.gada 2.septembra noteikumos Nr.561 “Noteikumi par elektroenerģijas ražošanu, uzraudzību un cenu noteikšanu, ražojot elektroenerģiju koģenerācijā”” (VSS-37) (turpmāk – Grozījumi 561.noteikumos) un Ministru kabineta noteikumu projektu “Grozījumi Ministru kabineta 2020.gada 2.septembra noteikumos Nr.560 “Noteikumi par elektroenerģijas ražošanu, izmantojot atjaunojamos energoresursus, kā arī par cenu noteikšanas kārtību un uzraudzību”” (VSS-38) (turpmāk – Grozījumi 560.noteikumos) un sniedz šādu viedokli un komentārus.</w:t>
            </w:r>
          </w:p>
          <w:p w14:paraId="270C2D1A" w14:textId="77777777" w:rsidR="005D4A48" w:rsidRDefault="005D4A48" w:rsidP="005D4A48">
            <w:pPr>
              <w:keepLines/>
              <w:autoSpaceDE w:val="0"/>
              <w:autoSpaceDN w:val="0"/>
              <w:adjustRightInd w:val="0"/>
              <w:spacing w:after="24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EPT atbalsta Ministru kabineta noteikumu projektos iekļauto pienākumu elektroenerģijas ražotājiem, kuri pārdod elektroenerģiju obligātā iepirkuma ietvaros vai saņem garantētu maksu par koģenerācijas stacijā uzstādīto elektrisko jaudu, reģistrēties pārvades sistēmas operatora uzturētajā izcelsmes apliecinājumu reģistrā saskaņā ar Eiropas Enerģijas sertifikācijas izcelsmes apliecinājumu sistēmas prasībām, lai publiskais tirgotājs varētu izpildīt Elektroenerģijas tirgus likumā noteikto pienākumu saņemt no šiem elektroenerģijas ražotājiem to elektrostacijās saražotās elektroenerģijas izcelsmes apliecinājumus, kā arī noteiktos valsts atbalsta izmaksas ierobežojumus, ja šāda reģistrācija netiek veikta. Vienlaikus EPT informē, ka gan sarunās ar minētajiem elektroenerģijas ražotājiem, gan pārvades sistēmas operatora un neatkarīgu akreditētu auditoru rīkotajos semināros, daudzi no tiem ir pauduši nostāju, ka visticamāk neveiks nekādas darbības attiecībā uz to elektrostaciju reģistrāciju pārvades sistēmas operatora uzturētajā izcelsmes apliecinājumu reģistrā un informācijas sniegšanu pārvades sistēmas operatoram, kas būtu nepieciešams, lai publiskais tirgotājs varētu saņemt šo staciju saražotās elektroenerģijas izcelsmes apliecinājumus, kamēr šo darbību neizpildes rezultātā tiem netiks paredzētas kādas sankcijas. Izvērtējot publiski pieejamo informāciju par elektrostacijām, kuras ir reģistrētas izcelsmes apliecinājumu reģistrā, tad uz 2021.gada 12.aprīli tajā reģistrētas ir tikai 116 elektrostacijas no kopā 297 elektrostacijām ar spēkā esošām tiesībām pārdot saražoto elektroenerģiju obligātā iepirkuma ietvaros vai saņemt garantētu maksu par elektrostacijā uzstādīto elektrisko jaudu, kā arī pēc EPT 2021.gada 10.marta vēstules izsūtīšanas visiem elektroenerģijas ražotājiem, kas saņem atbalstu elektroenerģijas obligātā iepirkuma vai garantētās maksas veidā, ar informāciju par izmaiņām elektrostaciju reģistrēšanas kārtībā, kā rezultātā tam vairs nav nepieciešams saņemt </w:t>
            </w:r>
            <w:r>
              <w:rPr>
                <w:rFonts w:ascii="Times New Roman" w:hAnsi="Times New Roman" w:cs="Times New Roman"/>
                <w:color w:val="000000"/>
                <w:sz w:val="24"/>
                <w:szCs w:val="24"/>
              </w:rPr>
              <w:lastRenderedPageBreak/>
              <w:t xml:space="preserve">akreditēta auditora apstiprinājumu reģistrācijai nepieciešamajai informācijai, un atkārtotu aicinājumu reģistrēt elektrostacijas izcelsmes apliecinājumu reģistrā, saskaņā ar pārvades sistēmas operatora sniegto informāciju līdz 2021.gada 12.aprīlim pārvades sistēmas operators ir saņēmis tikai 16 pieteikumus lietotāja konta izveidei un 14 pieteikumus ražošanas vienību reģistrācijai. Līdz ar to EPT aicina arī izvērtēt iespēju noteikt ierobežojumus valsts atbalsta izmaksai tiem ražotājiem, kuri pēc EPT informācijas saņemšanas par plānoto izcelsmes apliecinājumu pieprasījumu pārvades sistēmas operatoram noteiktā laika periodā neiesniedz neatkarīga akreditēta auditora apstiprinātas augstas efektivitātes koģenerācijas deklarācijas (izņemot gadījumu, ja attiecīgajā kalendārajā mēnesī elektroenerģija nav ražota augstas efektivitātes koģenerācijā, kā rezultātā jebkurā gadījumā izcelsmes apliecinājumi par šo periodu netiktu izdoti) vai neatkarīga auditora apstiprinātas jaukto enerģijas avotu ražošanas vienības deklarācijas (ja koģenerācijas stacijā tiek izmantoti un izcelsmes apliecinājumu reģistrā reģistrēti vairāki kurināmie), kas saskaņā ar Eiropas Enerģijas sertifikācijas izcelsmes apliecinājumu sistēmas prasībām un pārvades sistēmas operatora izstrādāto </w:t>
            </w:r>
            <w:r>
              <w:rPr>
                <w:rFonts w:ascii="Times New Roman" w:hAnsi="Times New Roman" w:cs="Times New Roman"/>
                <w:i/>
                <w:iCs/>
                <w:color w:val="000000"/>
                <w:sz w:val="24"/>
                <w:szCs w:val="24"/>
              </w:rPr>
              <w:t>domēna</w:t>
            </w:r>
            <w:r>
              <w:rPr>
                <w:rFonts w:ascii="Times New Roman" w:hAnsi="Times New Roman" w:cs="Times New Roman"/>
                <w:color w:val="000000"/>
                <w:sz w:val="24"/>
                <w:szCs w:val="24"/>
              </w:rPr>
              <w:t xml:space="preserve"> protokolu ir priekšnosacījums, lai varētu izsniegt izcelsmes apliecinājums attiecīgi elektrostacijām, kas enerģijas ražošanai neizmanto atjaunojamos energoresursus vai enerģijas ražošanai izmanto vairākus enerģijas avotus (kurināmā veidus). </w:t>
            </w:r>
          </w:p>
          <w:p w14:paraId="192B0D93" w14:textId="77777777" w:rsidR="005D4A48" w:rsidRDefault="005D4A48" w:rsidP="005D4A48">
            <w:pPr>
              <w:keepLines/>
              <w:autoSpaceDE w:val="0"/>
              <w:autoSpaceDN w:val="0"/>
              <w:adjustRightInd w:val="0"/>
              <w:spacing w:after="24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Tāpat EPT, lai atvieglotu obligātā iepirkuma un garantētās maksas valsts atbalsta izmaksas administrēšanu, aicina termiņu, līdz kuram jāveic elektrostaciju reģistrācija pārvades sistēmas operatora uzturētajā izcelsmes apliecinājumu reģistrā, noteikt kā kalendārā mēneša pēdējo dienu, ņemot vērā, ka norēķinu periods ir kalendārais mēnesis, bet elektrostacijas nereģistrēšanas gadījumā tiek paredzēts apturēt valsts atbalsta izmaksu par periodu pēc noteiktā termiņa beigām.</w:t>
            </w:r>
          </w:p>
          <w:p w14:paraId="23B46CB0" w14:textId="77777777" w:rsidR="005D4A48" w:rsidRDefault="005D4A48" w:rsidP="005D4A48">
            <w:pPr>
              <w:keepLines/>
              <w:autoSpaceDE w:val="0"/>
              <w:autoSpaceDN w:val="0"/>
              <w:adjustRightInd w:val="0"/>
              <w:spacing w:after="24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EPT vērš uzmanību, ka abos Ministru kabineta noteikumu projektos, ar kuriem paredzēti grozījumi abu Ministru kabineta noteikumu 48.7.apakšpunktos, kas pēc būtības paredz vienu un to pašu tikai attiecīgo Ministru kabineta noteikumu ietvaros, ir iekļauti atšķirīgi grozījumi. EPT atbalsta paredzētos 48.7.apakšpunkta grozījumus, kā to paredz Grozījumi 561.noteikumos, vienlaikus aicina šo punktu papildināt ar Būvniecības valsts kontroles biroja (turpmāk – BVKB) rīcību, negaidot nākamo gadu, kad tiek iesniegts koģenerācijas stacijas gada pārskats, ja BVKB ir konstatējis, ka komersants EPT ir sniedzis informāciju par lietderīgās siltumenerģijas apjomu un patērētā kurināmā daudzumu, kas neatbilst faktiskajai situācijai un tā rezultātā EPT no komersanta obligātā iepirkuma ietvaros ir iepirkusi elektroenerģiju lielākā apmērā nekā pienāktos, un šo apakšpunktu izteikt šādā redakcijā:</w:t>
            </w:r>
          </w:p>
          <w:p w14:paraId="5BBA5CD3" w14:textId="77777777" w:rsidR="005D4A48" w:rsidRDefault="005D4A48" w:rsidP="005D4A48">
            <w:pPr>
              <w:keepLines/>
              <w:autoSpaceDE w:val="0"/>
              <w:autoSpaceDN w:val="0"/>
              <w:adjustRightInd w:val="0"/>
              <w:spacing w:after="240" w:line="240" w:lineRule="auto"/>
              <w:ind w:firstLine="720"/>
              <w:jc w:val="both"/>
              <w:rPr>
                <w:rFonts w:ascii="Times New Roman" w:hAnsi="Times New Roman" w:cs="Times New Roman"/>
                <w:i/>
                <w:iCs/>
                <w:color w:val="000000"/>
                <w:sz w:val="24"/>
                <w:szCs w:val="24"/>
              </w:rPr>
            </w:pPr>
            <w:r>
              <w:rPr>
                <w:rFonts w:ascii="Times New Roman" w:hAnsi="Times New Roman" w:cs="Times New Roman"/>
                <w:i/>
                <w:iCs/>
                <w:color w:val="000000"/>
                <w:sz w:val="24"/>
                <w:szCs w:val="24"/>
              </w:rPr>
              <w:t xml:space="preserve">“48.7. ja birojs konstatē, ka komersanta iesniegtā šo noteikumu </w:t>
            </w:r>
            <w:hyperlink r:id="rId6" w:history="1">
              <w:r>
                <w:rPr>
                  <w:rFonts w:ascii="Times New Roman" w:hAnsi="Times New Roman" w:cs="Times New Roman"/>
                  <w:i/>
                  <w:iCs/>
                  <w:color w:val="000000"/>
                  <w:sz w:val="24"/>
                  <w:szCs w:val="24"/>
                </w:rPr>
                <w:t>74. punktā</w:t>
              </w:r>
            </w:hyperlink>
            <w:r>
              <w:rPr>
                <w:rFonts w:ascii="Times New Roman" w:hAnsi="Times New Roman" w:cs="Times New Roman"/>
                <w:i/>
                <w:iCs/>
                <w:color w:val="000000"/>
                <w:sz w:val="24"/>
                <w:szCs w:val="24"/>
              </w:rPr>
              <w:t xml:space="preserve"> minētā informācija, </w:t>
            </w:r>
            <w:r>
              <w:rPr>
                <w:rFonts w:ascii="Times New Roman" w:hAnsi="Times New Roman" w:cs="Times New Roman"/>
                <w:i/>
                <w:iCs/>
                <w:color w:val="000000"/>
                <w:sz w:val="24"/>
                <w:szCs w:val="24"/>
                <w:u w:val="single"/>
              </w:rPr>
              <w:t>informācija par koģenerācijas stacijā patērēto kurināmā daudzumu un lietderīgās siltumenerģijas daudzumu</w:t>
            </w:r>
            <w:r>
              <w:rPr>
                <w:rFonts w:ascii="Times New Roman" w:hAnsi="Times New Roman" w:cs="Times New Roman"/>
                <w:i/>
                <w:iCs/>
                <w:color w:val="000000"/>
                <w:sz w:val="24"/>
                <w:szCs w:val="24"/>
              </w:rPr>
              <w:t xml:space="preserve">, ko komersants iesniedz publiskajam tirgotājam, vai šo noteikumu </w:t>
            </w:r>
            <w:hyperlink r:id="rId7" w:history="1">
              <w:r>
                <w:rPr>
                  <w:rFonts w:ascii="Times New Roman" w:hAnsi="Times New Roman" w:cs="Times New Roman"/>
                  <w:i/>
                  <w:iCs/>
                  <w:color w:val="000000"/>
                  <w:sz w:val="24"/>
                  <w:szCs w:val="24"/>
                </w:rPr>
                <w:t>32. punktā</w:t>
              </w:r>
            </w:hyperlink>
            <w:r>
              <w:rPr>
                <w:rFonts w:ascii="Times New Roman" w:hAnsi="Times New Roman" w:cs="Times New Roman"/>
                <w:i/>
                <w:iCs/>
                <w:color w:val="000000"/>
                <w:sz w:val="24"/>
                <w:szCs w:val="24"/>
              </w:rPr>
              <w:t xml:space="preserve"> minētajā gada pārskatā minētā informācija neatbilst faktiskajai situācijai un šāda minētās informācijas neatbilstība ietekmējusi izmaksājamā atbalsta apmēru, tādējādi publiskais tirgotājs iepircis elektroenerģiju obligātā iepirkuma ietvaros par lielāku cenu </w:t>
            </w:r>
            <w:r>
              <w:rPr>
                <w:rFonts w:ascii="Times New Roman" w:hAnsi="Times New Roman" w:cs="Times New Roman"/>
                <w:i/>
                <w:iCs/>
                <w:color w:val="000000"/>
                <w:sz w:val="24"/>
                <w:szCs w:val="24"/>
                <w:u w:val="single"/>
              </w:rPr>
              <w:t>vai lielākā apmērā</w:t>
            </w:r>
            <w:r>
              <w:rPr>
                <w:rFonts w:ascii="Times New Roman" w:hAnsi="Times New Roman" w:cs="Times New Roman"/>
                <w:i/>
                <w:iCs/>
                <w:color w:val="000000"/>
                <w:sz w:val="24"/>
                <w:szCs w:val="24"/>
              </w:rPr>
              <w:t xml:space="preserve">, nekā pienāktos”. </w:t>
            </w:r>
          </w:p>
          <w:p w14:paraId="1787F008" w14:textId="77777777" w:rsidR="005D4A48" w:rsidRDefault="005D4A48" w:rsidP="005D4A48">
            <w:pPr>
              <w:keepLines/>
              <w:autoSpaceDE w:val="0"/>
              <w:autoSpaceDN w:val="0"/>
              <w:adjustRightInd w:val="0"/>
              <w:spacing w:after="24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Tāpat EPT aicina Grozījumos 560.noteikumos un Grozījumos 561.noteikumos vai arī to anotācijās noteikt, kāda veida atbalsts (elektroenerģijas obligātais iepirkums vai garantēta maksa par elektrostacijā uzstādīto elektrisko jaudu) tiek turpmāk sniegts koģenerācijas stacijām, ja Grozījumu 560.noteikumos un Grozījumu 561.noteikumos piemērošanas rezultātā iestājas situācija, ka koģenerācijas staciju apvienošanas rezultātā apvienotās koģenerācijas kopējā uzstādītā elektriskā jauda pārsniedz 4 MW un turpmāk tās darbībai piemērojami Ministru kabineta 2020.gada 2.septembra noteikumos Nr.561 “Noteikumi par elektroenerģijas ražošanu, uzraudzību un cenu noteikšanu, ražojot elektroenerģiju koģenerācijā” (turpmāk – </w:t>
            </w:r>
            <w:r>
              <w:rPr>
                <w:rFonts w:ascii="Times New Roman" w:hAnsi="Times New Roman" w:cs="Times New Roman"/>
                <w:color w:val="000000"/>
                <w:sz w:val="24"/>
                <w:szCs w:val="24"/>
              </w:rPr>
              <w:lastRenderedPageBreak/>
              <w:t>Noteikumi Nr.561), jo pašreizējās Noteikumu Nr.561 redakcijas 67.punkts paredz elektroenerģijas obligātā iepirkuma cenas aprēķina formulu tikai elektrostacijām ar uzstādīto elektrisko jaudu līdz 4 MW. Līdz ar to, ja šādai koģenerācijas stacijai valsts atbalsts tiek turpināts elektroenerģijas obligātā iepirkuma veidā un piemērojot Noteikumus Nr.561, kā jau EPT ir norādījusi savos iepriekšējos atzinumos, Noteikumos Nr.561 nepieciešams paredzēt iepirkuma cenas aprēķināšanas kārtību šādai elektrostacijai.</w:t>
            </w:r>
          </w:p>
        </w:tc>
      </w:tr>
    </w:tbl>
    <w:p w14:paraId="6995ACF7" w14:textId="77777777" w:rsidR="005D4A48" w:rsidRDefault="005D4A48" w:rsidP="005D4A48">
      <w:pPr>
        <w:autoSpaceDE w:val="0"/>
        <w:autoSpaceDN w:val="0"/>
        <w:adjustRightInd w:val="0"/>
        <w:spacing w:after="0" w:line="240" w:lineRule="auto"/>
        <w:rPr>
          <w:rFonts w:ascii="Times New Roman" w:hAnsi="Times New Roman" w:cs="Times New Roman"/>
          <w:color w:val="000000"/>
          <w:sz w:val="24"/>
          <w:szCs w:val="24"/>
        </w:rPr>
      </w:pPr>
    </w:p>
    <w:p w14:paraId="2E19614A" w14:textId="77777777" w:rsidR="005D4A48" w:rsidRDefault="005D4A48" w:rsidP="005D4A48">
      <w:pPr>
        <w:autoSpaceDE w:val="0"/>
        <w:autoSpaceDN w:val="0"/>
        <w:adjustRightInd w:val="0"/>
        <w:spacing w:after="0" w:line="240" w:lineRule="auto"/>
        <w:rPr>
          <w:rFonts w:ascii="Times New Roman" w:hAnsi="Times New Roman" w:cs="Times New Roman"/>
          <w:color w:val="000000"/>
          <w:sz w:val="24"/>
          <w:szCs w:val="24"/>
        </w:rPr>
      </w:pPr>
    </w:p>
    <w:p w14:paraId="1EB61A65" w14:textId="77777777" w:rsidR="005D4A48" w:rsidRDefault="005D4A48" w:rsidP="005D4A48">
      <w:pPr>
        <w:autoSpaceDE w:val="0"/>
        <w:autoSpaceDN w:val="0"/>
        <w:adjustRightInd w:val="0"/>
        <w:spacing w:after="0" w:line="240" w:lineRule="auto"/>
        <w:rPr>
          <w:rFonts w:ascii="Times New Roman" w:hAnsi="Times New Roman" w:cs="Times New Roman"/>
          <w:i/>
          <w:iCs/>
          <w:color w:val="000000"/>
          <w:sz w:val="20"/>
          <w:szCs w:val="20"/>
        </w:rPr>
      </w:pPr>
      <w:r>
        <w:rPr>
          <w:rFonts w:ascii="Times New Roman" w:hAnsi="Times New Roman" w:cs="Times New Roman"/>
          <w:i/>
          <w:iCs/>
          <w:color w:val="000000"/>
          <w:sz w:val="20"/>
          <w:szCs w:val="20"/>
        </w:rPr>
        <w:t>Šis dokuments ir parakstīts ar drošu elektronisko parakstu un satur laika zīmogu.</w:t>
      </w:r>
    </w:p>
    <w:p w14:paraId="4B1F453F" w14:textId="77777777" w:rsidR="005D4A48" w:rsidRDefault="005D4A48" w:rsidP="005D4A48">
      <w:pPr>
        <w:autoSpaceDE w:val="0"/>
        <w:autoSpaceDN w:val="0"/>
        <w:adjustRightInd w:val="0"/>
        <w:spacing w:after="0" w:line="240" w:lineRule="auto"/>
        <w:rPr>
          <w:rFonts w:ascii="Times New Roman" w:hAnsi="Times New Roman" w:cs="Times New Roman"/>
          <w:i/>
          <w:iCs/>
          <w:color w:val="000000"/>
          <w:sz w:val="20"/>
          <w:szCs w:val="20"/>
        </w:rPr>
      </w:pPr>
    </w:p>
    <w:tbl>
      <w:tblPr>
        <w:tblW w:w="5000" w:type="pct"/>
        <w:tblCellMar>
          <w:left w:w="0" w:type="dxa"/>
          <w:right w:w="0" w:type="dxa"/>
        </w:tblCellMar>
        <w:tblLook w:val="00A0" w:firstRow="1" w:lastRow="0" w:firstColumn="1" w:lastColumn="0" w:noHBand="0" w:noVBand="0"/>
      </w:tblPr>
      <w:tblGrid>
        <w:gridCol w:w="4386"/>
        <w:gridCol w:w="276"/>
        <w:gridCol w:w="4409"/>
      </w:tblGrid>
      <w:tr w:rsidR="005D4A48" w14:paraId="2B46B76A" w14:textId="77777777" w:rsidTr="005D4A48">
        <w:tc>
          <w:tcPr>
            <w:tcW w:w="2418" w:type="pct"/>
          </w:tcPr>
          <w:p w14:paraId="09B05057" w14:textId="77777777" w:rsidR="005D4A48" w:rsidRDefault="005D4A48" w:rsidP="005D4A48">
            <w:pPr>
              <w:keepLines/>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Valdes priekšsēdētājs</w:t>
            </w:r>
          </w:p>
        </w:tc>
        <w:tc>
          <w:tcPr>
            <w:tcW w:w="152" w:type="pct"/>
          </w:tcPr>
          <w:p w14:paraId="4C06D3E6" w14:textId="77777777" w:rsidR="005D4A48" w:rsidRDefault="005D4A48" w:rsidP="005D4A48">
            <w:pPr>
              <w:keepLines/>
              <w:autoSpaceDE w:val="0"/>
              <w:autoSpaceDN w:val="0"/>
              <w:adjustRightInd w:val="0"/>
              <w:spacing w:after="0" w:line="360" w:lineRule="auto"/>
              <w:ind w:left="15"/>
              <w:rPr>
                <w:rFonts w:ascii="Times New Roman" w:hAnsi="Times New Roman" w:cs="Times New Roman"/>
                <w:color w:val="000000"/>
                <w:sz w:val="24"/>
                <w:szCs w:val="24"/>
              </w:rPr>
            </w:pPr>
          </w:p>
        </w:tc>
        <w:tc>
          <w:tcPr>
            <w:tcW w:w="2430" w:type="pct"/>
          </w:tcPr>
          <w:p w14:paraId="3CFC0488" w14:textId="77777777" w:rsidR="005D4A48" w:rsidRDefault="005D4A48" w:rsidP="005D4A48">
            <w:pPr>
              <w:keepLines/>
              <w:autoSpaceDE w:val="0"/>
              <w:autoSpaceDN w:val="0"/>
              <w:adjustRightInd w:val="0"/>
              <w:spacing w:after="0" w:line="360" w:lineRule="auto"/>
              <w:ind w:left="15" w:right="283"/>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Andris </w:t>
            </w:r>
            <w:proofErr w:type="spellStart"/>
            <w:r>
              <w:rPr>
                <w:rFonts w:ascii="Times New Roman" w:hAnsi="Times New Roman" w:cs="Times New Roman"/>
                <w:color w:val="000000"/>
                <w:sz w:val="24"/>
                <w:szCs w:val="24"/>
              </w:rPr>
              <w:t>Cakuls</w:t>
            </w:r>
            <w:proofErr w:type="spellEnd"/>
          </w:p>
        </w:tc>
      </w:tr>
    </w:tbl>
    <w:p w14:paraId="52F72776" w14:textId="77777777" w:rsidR="005D4A48" w:rsidRDefault="005D4A48" w:rsidP="005D4A48">
      <w:pPr>
        <w:autoSpaceDE w:val="0"/>
        <w:autoSpaceDN w:val="0"/>
        <w:adjustRightInd w:val="0"/>
        <w:spacing w:after="0" w:line="240" w:lineRule="auto"/>
        <w:rPr>
          <w:rFonts w:ascii="Times New Roman" w:hAnsi="Times New Roman" w:cs="Times New Roman"/>
          <w:color w:val="000000"/>
          <w:sz w:val="24"/>
          <w:szCs w:val="24"/>
        </w:rPr>
      </w:pPr>
    </w:p>
    <w:p w14:paraId="6EB1BE6B" w14:textId="77777777" w:rsidR="005D4A48" w:rsidRDefault="005D4A48" w:rsidP="005D4A48">
      <w:pPr>
        <w:autoSpaceDE w:val="0"/>
        <w:autoSpaceDN w:val="0"/>
        <w:adjustRightInd w:val="0"/>
        <w:spacing w:after="0" w:line="240" w:lineRule="auto"/>
        <w:rPr>
          <w:rFonts w:ascii="Times New Roman" w:hAnsi="Times New Roman" w:cs="Times New Roman"/>
          <w:color w:val="000000"/>
          <w:sz w:val="24"/>
          <w:szCs w:val="24"/>
        </w:rPr>
      </w:pPr>
    </w:p>
    <w:tbl>
      <w:tblPr>
        <w:tblW w:w="5000" w:type="pct"/>
        <w:tblCellMar>
          <w:left w:w="0" w:type="dxa"/>
          <w:right w:w="0" w:type="dxa"/>
        </w:tblCellMar>
        <w:tblLook w:val="00A0" w:firstRow="1" w:lastRow="0" w:firstColumn="1" w:lastColumn="0" w:noHBand="0" w:noVBand="0"/>
      </w:tblPr>
      <w:tblGrid>
        <w:gridCol w:w="9071"/>
      </w:tblGrid>
      <w:tr w:rsidR="005D4A48" w14:paraId="27676D6E" w14:textId="77777777" w:rsidTr="005D4A48">
        <w:tc>
          <w:tcPr>
            <w:tcW w:w="5000" w:type="pct"/>
          </w:tcPr>
          <w:p w14:paraId="33E305EF" w14:textId="77777777" w:rsidR="005D4A48" w:rsidRDefault="005D4A48" w:rsidP="005D4A48">
            <w:pPr>
              <w:keepLines/>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Roberts Meijers 67728431</w:t>
            </w:r>
          </w:p>
        </w:tc>
      </w:tr>
    </w:tbl>
    <w:p w14:paraId="45DDD300" w14:textId="77777777" w:rsidR="005766AC" w:rsidRPr="00424932" w:rsidRDefault="005766AC" w:rsidP="005D4A48"/>
    <w:sectPr w:rsidR="005766AC" w:rsidRPr="00424932" w:rsidSect="007F566F">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7E2768" w14:textId="77777777" w:rsidR="00940013" w:rsidRDefault="00940013" w:rsidP="00117405">
      <w:pPr>
        <w:spacing w:after="0" w:line="240" w:lineRule="auto"/>
      </w:pPr>
      <w:r>
        <w:separator/>
      </w:r>
    </w:p>
  </w:endnote>
  <w:endnote w:type="continuationSeparator" w:id="0">
    <w:p w14:paraId="3DCFD4A5" w14:textId="77777777" w:rsidR="00940013" w:rsidRDefault="00940013" w:rsidP="001174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5D800F" w14:textId="77777777" w:rsidR="005D4A48" w:rsidRDefault="005D4A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BA4074" w14:textId="77777777" w:rsidR="005D4A48" w:rsidRDefault="005D4A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48A4D4" w14:textId="77777777" w:rsidR="005D4A48" w:rsidRDefault="005D4A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9D75CD" w14:textId="77777777" w:rsidR="00940013" w:rsidRDefault="00940013" w:rsidP="00117405">
      <w:pPr>
        <w:spacing w:after="0" w:line="240" w:lineRule="auto"/>
      </w:pPr>
      <w:r>
        <w:separator/>
      </w:r>
    </w:p>
  </w:footnote>
  <w:footnote w:type="continuationSeparator" w:id="0">
    <w:p w14:paraId="1251B61D" w14:textId="77777777" w:rsidR="00940013" w:rsidRDefault="00940013" w:rsidP="001174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4436A1" w14:textId="77777777" w:rsidR="005D4A48" w:rsidRDefault="005D4A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7640B8" w14:textId="77777777" w:rsidR="005D4A48" w:rsidRDefault="005D4A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071"/>
    </w:tblGrid>
    <w:tr w:rsidR="007F566F" w:rsidRPr="007F566F" w14:paraId="3047EE07" w14:textId="77777777" w:rsidTr="007F566F">
      <w:trPr>
        <w:cantSplit/>
        <w:trHeight w:val="3515"/>
        <w:jc w:val="center"/>
      </w:trPr>
      <w:tc>
        <w:tcPr>
          <w:tcW w:w="9061" w:type="dxa"/>
        </w:tcPr>
        <w:p w14:paraId="73236789" w14:textId="77777777" w:rsidR="007F566F" w:rsidRPr="007F566F" w:rsidRDefault="00B90832">
          <w:pPr>
            <w:pStyle w:val="Header"/>
            <w:rPr>
              <w:rFonts w:ascii="Times New Roman" w:hAnsi="Times New Roman" w:cs="Times New Roman"/>
              <w:b/>
              <w:sz w:val="24"/>
              <w:szCs w:val="24"/>
            </w:rPr>
          </w:pPr>
          <w:r>
            <w:rPr>
              <w:rFonts w:ascii="Times New Roman" w:hAnsi="Times New Roman" w:cs="Times New Roman"/>
              <w:b/>
              <w:noProof/>
              <w:sz w:val="24"/>
              <w:szCs w:val="24"/>
              <w:lang w:eastAsia="lv-LV"/>
            </w:rPr>
            <w:drawing>
              <wp:anchor distT="0" distB="0" distL="114300" distR="114300" simplePos="0" relativeHeight="251658240" behindDoc="0" locked="0" layoutInCell="1" allowOverlap="1" wp14:anchorId="0419AA05" wp14:editId="679C3657">
                <wp:simplePos x="0" y="0"/>
                <wp:positionH relativeFrom="column">
                  <wp:posOffset>-1070610</wp:posOffset>
                </wp:positionH>
                <wp:positionV relativeFrom="paragraph">
                  <wp:posOffset>114300</wp:posOffset>
                </wp:positionV>
                <wp:extent cx="7566025" cy="2145665"/>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6025" cy="2145665"/>
                        </a:xfrm>
                        <a:prstGeom prst="rect">
                          <a:avLst/>
                        </a:prstGeom>
                        <a:noFill/>
                      </pic:spPr>
                    </pic:pic>
                  </a:graphicData>
                </a:graphic>
                <wp14:sizeRelH relativeFrom="page">
                  <wp14:pctWidth>0</wp14:pctWidth>
                </wp14:sizeRelH>
                <wp14:sizeRelV relativeFrom="page">
                  <wp14:pctHeight>0</wp14:pctHeight>
                </wp14:sizeRelV>
              </wp:anchor>
            </w:drawing>
          </w:r>
        </w:p>
      </w:tc>
    </w:tr>
  </w:tbl>
  <w:p w14:paraId="528354BD" w14:textId="77777777" w:rsidR="00526744" w:rsidRDefault="00526744">
    <w:pPr>
      <w:pStyle w:val="Header"/>
    </w:pPr>
  </w:p>
  <w:p w14:paraId="1356BA78" w14:textId="77777777" w:rsidR="005D4A48" w:rsidRPr="005D4A48" w:rsidRDefault="005D4A48">
    <w:pPr>
      <w:pStyle w:val="Header"/>
      <w:rPr>
        <w:sz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A48"/>
    <w:rsid w:val="00046C5E"/>
    <w:rsid w:val="00117405"/>
    <w:rsid w:val="001D1AD2"/>
    <w:rsid w:val="002302EC"/>
    <w:rsid w:val="003E571F"/>
    <w:rsid w:val="003F7941"/>
    <w:rsid w:val="00424932"/>
    <w:rsid w:val="00454313"/>
    <w:rsid w:val="00476996"/>
    <w:rsid w:val="00526744"/>
    <w:rsid w:val="00561709"/>
    <w:rsid w:val="005766AC"/>
    <w:rsid w:val="005D4A48"/>
    <w:rsid w:val="006232BF"/>
    <w:rsid w:val="00627FAE"/>
    <w:rsid w:val="006512F4"/>
    <w:rsid w:val="006D2C65"/>
    <w:rsid w:val="00707C55"/>
    <w:rsid w:val="00717B9A"/>
    <w:rsid w:val="007F566F"/>
    <w:rsid w:val="0083724C"/>
    <w:rsid w:val="00845E63"/>
    <w:rsid w:val="008B458C"/>
    <w:rsid w:val="00940013"/>
    <w:rsid w:val="00974D29"/>
    <w:rsid w:val="009B414B"/>
    <w:rsid w:val="009C5EBC"/>
    <w:rsid w:val="00A32671"/>
    <w:rsid w:val="00B90832"/>
    <w:rsid w:val="00B95B3B"/>
    <w:rsid w:val="00BF2CBA"/>
    <w:rsid w:val="00CF07FA"/>
    <w:rsid w:val="00D12EA2"/>
    <w:rsid w:val="00D9691A"/>
    <w:rsid w:val="00DA5174"/>
    <w:rsid w:val="00E41C97"/>
    <w:rsid w:val="00E77323"/>
    <w:rsid w:val="00EF2E06"/>
    <w:rsid w:val="00FF488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A18E3B"/>
  <w15:docId w15:val="{253F9FDA-E891-4310-A9E4-B851E6DF0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232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2BF"/>
    <w:rPr>
      <w:rFonts w:ascii="Tahoma" w:hAnsi="Tahoma" w:cs="Tahoma"/>
      <w:sz w:val="16"/>
      <w:szCs w:val="16"/>
    </w:rPr>
  </w:style>
  <w:style w:type="paragraph" w:styleId="Header">
    <w:name w:val="header"/>
    <w:basedOn w:val="Normal"/>
    <w:link w:val="HeaderChar"/>
    <w:uiPriority w:val="99"/>
    <w:unhideWhenUsed/>
    <w:rsid w:val="00117405"/>
    <w:pPr>
      <w:tabs>
        <w:tab w:val="center" w:pos="4320"/>
        <w:tab w:val="right" w:pos="8640"/>
      </w:tabs>
      <w:spacing w:after="0" w:line="240" w:lineRule="auto"/>
    </w:pPr>
  </w:style>
  <w:style w:type="character" w:customStyle="1" w:styleId="HeaderChar">
    <w:name w:val="Header Char"/>
    <w:basedOn w:val="DefaultParagraphFont"/>
    <w:link w:val="Header"/>
    <w:uiPriority w:val="99"/>
    <w:rsid w:val="00117405"/>
  </w:style>
  <w:style w:type="paragraph" w:styleId="Footer">
    <w:name w:val="footer"/>
    <w:basedOn w:val="Normal"/>
    <w:link w:val="FooterChar"/>
    <w:uiPriority w:val="99"/>
    <w:unhideWhenUsed/>
    <w:rsid w:val="00117405"/>
    <w:pPr>
      <w:tabs>
        <w:tab w:val="center" w:pos="4320"/>
        <w:tab w:val="right" w:pos="8640"/>
      </w:tabs>
      <w:spacing w:after="0" w:line="240" w:lineRule="auto"/>
    </w:pPr>
  </w:style>
  <w:style w:type="character" w:customStyle="1" w:styleId="FooterChar">
    <w:name w:val="Footer Char"/>
    <w:basedOn w:val="DefaultParagraphFont"/>
    <w:link w:val="Footer"/>
    <w:uiPriority w:val="99"/>
    <w:rsid w:val="00117405"/>
  </w:style>
  <w:style w:type="table" w:styleId="TableGrid">
    <w:name w:val="Table Grid"/>
    <w:basedOn w:val="TableNormal"/>
    <w:uiPriority w:val="59"/>
    <w:rsid w:val="007F56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s://likumi.lv/ta/id/317216"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317216"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vils.Strikeris\Desktop\Alvils\560%20un%20561%20not%20groz\2021_04_14_atk&#257;rtotie%20atzinumi\//Users/imedveds/AppData/Local/Temp/EPT_veidlapa_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EPT_veidlapa_2021.dotx</Template>
  <TotalTime>0</TotalTime>
  <Pages>3</Pages>
  <Words>5068</Words>
  <Characters>2889</Characters>
  <Application>Microsoft Office Word</Application>
  <DocSecurity>0</DocSecurity>
  <Lines>24</Lines>
  <Paragraphs>15</Paragraphs>
  <ScaleCrop>false</ScaleCrop>
  <HeadingPairs>
    <vt:vector size="2" baseType="variant">
      <vt:variant>
        <vt:lpstr>Title</vt:lpstr>
      </vt:variant>
      <vt:variant>
        <vt:i4>1</vt:i4>
      </vt:variant>
    </vt:vector>
  </HeadingPairs>
  <TitlesOfParts>
    <vt:vector size="1" baseType="lpstr">
      <vt:lpstr/>
    </vt:vector>
  </TitlesOfParts>
  <Company>Latvenergo</Company>
  <LinksUpToDate>false</LinksUpToDate>
  <CharactersWithSpaces>7942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Ilze Medvedska</dc:creator>
  <cp:lastModifiedBy>Alvils Strīķeris</cp:lastModifiedBy>
  <cp:revision>2</cp:revision>
  <dcterms:created xsi:type="dcterms:W3CDTF">2021-04-14T09:16:00Z</dcterms:created>
  <dcterms:modified xsi:type="dcterms:W3CDTF">2021-04-14T09:16:00Z</dcterms:modified>
</cp:coreProperties>
</file>