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25-TA-1639: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22.10.2025. 17:53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 sadaļu ar informāciju, skaidrojot, kādēļ 4.2.1.5. pasākuma "Izglītības iestāžu nodrošinājums pilnveidotā vispārējās izglītības satura kvalitatīvai ieviešanai pamata un vidējās izglītības pakāpē" trešajai projektu iesniegumu atlases kārtas kārtai ir netieša ietekme uz horizontālo principu “Energoefektivitāte pirmajā vietā” (HP). Vienlaikus lūdzam papildināt anotāciju atbilstoši Horizontālā principa “Energoefektivitāte pirmajā vietā” vadlīnijās īstenošanai un uzraudzībai (2021-2027) noteiktajām prasībām, proti, sniegt informāciju par to, kādas vispārīgās un specifiskās darbības ieteicams īstenot projektos, kādi HP rādītāji un kāds HP kritērijs tiks piemērots projektu iesniegumu vērtēšanā – kvalitātes kritērijs vai specifiskais atbilstības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Ekonomikas ministrijas saskaņojums par papildinājumu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Aglonas vidusskolu, Dagdas vidusskolu, Kārsavas vidusskolu, Kaunatas vidusskolu, Viļakas vidusskolu un Zilupes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Ludzas novada pašvaldība uztur iepriekš iesniegto priekšlikumu precizēt noteikumu 16.4.4. apakšpunktu. Lai gan Dagdas un Kaunatas vidusskolām jau ir noteikti samazināti izglītojamo skaita kritēriji, Kārsavas un Zilupes vidusskolas atrodas tiešā ārējās robežas tuvumā (mazāk nekā 10 km) un ir īpaši sensitīvā teritorijā. Šādos apstākļos ir pamatoti paredzēt papildu izņēmumu — nenosakot minimālo izglītojamo skaitu šajās skolās. Tas nodrošinās izglītības pieejamību un vietējās sabiedrības ilgtspēju. Nenorādot minimālo izglītojamo skaitu, tiek saglabāta izglītības pieejamība, stiprināta kopienas noturība un reģiona attīstības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lūdz iekļaut minētos grozījumus Ministru kabineta noteikumos, lai nodrošinātu kvalitatīvas un pieejamas izglītības saglabāšanu stratēģiski nozīmīgās Latvijas pierobežas pilsētās (Kārsava, Zilupe). Šāds risinājums ir būtisks, lai nodrošinātu iedzīvotāju noturēšanos teritorijā, apdzīvotības saglabāšanu un valsts drošības stiprināšanu ārējās robežas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Ludzas novada pašvaldība nevarēs kvalificēties projekta nosacījumiem, kas liegtu iespēju piesaistīt finansējumu Ludzas novada Kārsavas un Zilupes pilsētu vidusskolu infrastruktūras attīstībai un vispārējās izglītības satura ieviešanai vidusskolas posmā. Tas būtu pretrunā ar valsts deklarēto mērķi stiprināt Austrumu pierobežas noturību un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16.4.4. apakšpunktā ietvertais minimālais izglītojamo skaits – 10 skolēni klasē – ir noteikts kā absolūtais minimums, lai nodrošinātu izglītības procesa kvalitāti, efektivitāti un atbilstību mācību saturam. Skolas, kurās klasēs ir mazāks bērnu skaits, objektīvi nespēj nodrošināt pilnvērtīgu mācību procesu: tajās nav iespējamas pilnvērtīgas mācību aktivitātes pāros un grupās, trūkst pietiekamas skolēnu savstarpējās mijiedarbības un konkurences elementu, kas ir būtiski mācību motivācijas veidošanā, kā arī tiek ievērojami sadārdzināts izglītības nodrošinājums uz vienu skolēnu. Turklāt klasēm ar ļoti mazu skolēnu skaitu raksturīgas būtiskas pedagogu noslodzes un resursu plānošanas problēmas, kas ietekmē mācību procesa stabilitāti. Tādēļ nav pieļaujama situācija, kurā tiktu uzturētas klases ar tikai dažiem skolēniem, jo tas neatbilst ne kvalitātes, ne ilgtspējas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3.kārtas ietvaros nepastāv nosacījums, ka visām pašvaldības izglītības iestādēm jāatbilst 16.4. apakšpunkta nosacījumiem. Atbilstība jānodrošina tikai tai izglītības iestādei, kuru izvirza atbalstam. Līdz ar ko, pašvaldība var paredzēt ieguldījumus citās atbilstošās izglītības iestādēs administratīvi teritoriālā iedalījuma vienībā, kas noteikta kā pierobeža, izņemot administratīvo centru, ne tikai Kārsavas un Zilupes vidusskolā.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Aglonas vidusskolu, Dagdas vidusskolu, Kārsavas vidusskolu, Kaunatas vidusskolu, Viļakas vidusskolu un Zilupes vidusskolu, kas nodrošina vismaz 30 izglītojamos.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Aglonas vidusskolu, Dagdas vidusskolu, Kārsavas vidusskolu, Kaunatas vidusskolu, Viļakas vidusskolu un Zilupes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16.4.4. apakšpunkts ir papildināts ar atsevišķu vidusskolu uzskaitījumu, uz kurām attiecināms izņēmums par izglītojamo skaita nodrošināšanu 10.-12. klašu grupā, 45 izglītojamo vietā nodrošinot 30 izglītojamos, lūdzam papildināt anotāciju ar informāciju, kā ir izvēlētas noteikumu projekta 16.4.4. apakšpunktā minētās vidusskolas kā izņēmuma gadījums izglītojamo skaita nodrošināšanā, un skaidrot, vai attiecīgajiem atlases kritērijiem nevarētu atbilst vēl citas, uzskaitījumā neminētas,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Aglonas vidusskolu, Dagdas vidusskolu, Kārsavas vidusskolu, Kaunatas vidusskolu, Viļakas vidusskolu un Zilupes vidusskolu, kas nodrošina vismaz 30 izglītojamos.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sadaļas  "4.2.1.5. pasākums tiek īstenots sinerģijā ar" e. apakšpunktu, jo pašvaldības primāri aizņēmumus izmanto  ES līdzfinansētam projektam, nevis tikai kā izglītības jomas projektiem saskaņā ar Ministru kabineta 2024. gada 17. decembra noteikumiem Nr. 879 “Noteikumi par kritērijiem un kārtību, kādā tiek izvērtēti pašvaldību investīciju projektu pieteikumi aizdevuma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ierosinām noteikt sekojoša redakcijā: </w:t>
            </w:r>
            <w:r w:rsidR="00000000" w:rsidRPr="00000000" w:rsidDel="00000000">
              <w:rPr>
                <w:i w:val="1"/>
                <w:rtl w:val="0"/>
              </w:rPr>
              <w:t xml:space="preserve">4.2.1.5. pasākums tiek īstenots sinerģijā ar: e) pašvaldību aizņēmumiem atbilstoši gadskārtējā valsts budžeta likumā noteiktajiem aizņemšanās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17.09.2025. 20:58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Dagdas vidusskolu, Kārsavas vidusskolu un Kaunatas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cik daudzas no pierobežas pašvaldībām argumentēti norāda uz nespēju nodrošināt obligāto minimālo skolēnu skaitu vidusskolas posmā un lūdz iekļaut viņu izglītības iestādes izņēmuma gadījumos, aicinām pārvērtēt kopējos uzstādītos minimālā skolēnu skaita kritērijus 10.-12.klašu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RACA vērsušās sekojošas pašvaldības: Balvu novads ar Viļakas vidusskolu, Augšdaugavas novads ar Zemgales vidusskolu, Preiļu novads ar Aglonas vidusskolu, Ludzas novads ar Dagdas, Kaunatas, Zilupes, Kārsavas vidusskolām.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Atspoguļojam Preiļu novada pašvaldības un Ludzas novada pašvaldības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Preiļu novada pašvaldība uztur savu sākotnējo iebildumu, uz izziņā norādītajiem argumentiem norādot sekojošo: Preiļu novada pašvaldība nepiekrīt pretargumentiem par Aglonas vidusskolas neiekļaušanu izņēmuma sarakstā,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sarakstā ir iekļautas trīs citas vidusskolas un izņēmuma kritēriji nav nekur normatīvajos aktos atrunāti. Atsauce uz starptautiski validētu metodoloģiju ir nepamatota, jo tā nav akceptēta ne valstij saistošos līgumos, ne citos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Ģeogrāfiskā situācijā un pēc saviem parametriem  Aglonas vidusskola neatšķiras arī no tām  skolām, kuras ir iekļautas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Ludzas novada pašvaldība savā 22.09.2025. vēstulē Nr. 3.1.1.7/2025/1897-N norāda sekojošo: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pieejamības un sabiedrības ilgtspējas nodrošināšanas nozīmi pierobežas teritorijās, ir nepieciešams iekļaut arī Zilupes pilsētas vidusskolu, jo tā, līdzīgi kā Kārsavas vidusskola, atrodas pierobežas pilsētā, nevis pagastā, un ģeogrāfiski ļoti tuvu ārējai robežai. Abas skolas – Kārsavas un Zilupes – ir nozīmīgas Ludzas novada attīstības un sabiedrības noturības balsta institūcijas, jo atrodas tiešā valsts austrumu pierobežā, kur izglītības iestāžu pieejamība ir stratēģiski būtiska. Skolas ir būtisks faktors iedzīvotāju palikšanai teritorijā, tās nodrošina apdzīvotību, stiprina vietējo kopienu un tādējādi arī valsts drošību pierobežā. Tāpat ir nepieciešams precizēt noteikumu 16.4.4. apakšpunktu, jo, lai gan Dagdas un Kaunatas vidusskolām jau noteikti samazināti izglītojamo skaita kritēriji, Kārsavas un Zilupes vidusskola atrodas Ludzas novadā tiešā ārējās Šis dokuments ir parakstīts ar drošu elektronisko parakstu un satur laika zīmogu robežas tuvumā (mazāk nekā 10 km no Krievijas Federācijas robežas) un tādējādi atrodas īpaši sensitīvā teritorijā. Šādos apstākļos ir pamatoti paredzēt papildu izņēmumu – noteikt minimālo izglītojamo skaitu 25, nodrošinot izglītības pieejamību un ilgtspēju šajā stratēģiski nozīmīgajā pierobežas teritorijā. Samazinot minimālo izglītojamo skaitu līdz 25 skolēniem, tiek nodrošināta izglītības pieejamība vietējiem bērniem un jauniešiem, vienlaikus saglabājot sabiedrības ilgtspēju un reģiona attīstības potenciālu. Šajās skolās izglītības pieejamība ir cieši saistīta ar sabiedrības drošību, noturību un teritorijas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Ludzas novada pašvaldība nevarēs kvalificēties projekta nosacījumiem, kas liegtu iespēju piesaistīt finansējumu izglītības iestāžu nodrošinājuma pilnveidošanai un vispārējās izglītības satura kvalitatīvai ieviešanai vidējās izglītības pakāpē. Tas nozīmē, ka pašvaldība, kas atrodas stratēģiski visjutīgākajā valsts teritorijā – austrumu pierobežā, ar garāko sauszemes robežu valstī –, faktiski tiek atstāta bez atbalsta. Šāda pieeja ir klajā pretrunā ar valsts deklarēto politisko kursu stiprināt austrumu pierobežu un tās noturību. Atbalsta trūkums Ludzas novadam praktiski nozīmē, ka tiek stiprinātas citas pašvaldības, kamēr austrumu pierobežas pašvaldības – kur koncentrējas īpaši nozīmīgi valsts drošības un sabiedrības noturības izaicinājumi – paliek novārtā. Tas ne tikai grauj sabiedrības uzticēšanos valsts politikai, bet arī apdraud izvirzīto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Dagdas vidusskolu, Viļakas vidusskolu, Zemgales vidusskolu, Aglonas vidusskolu un Kaunatas vidusskolu, kurās tiek nodrošināti ne mazāk kā 30 izglītojamie, savukārt Kārsavas vidusskolā un Zilupes vidusskolā tiek nodrošināti ne mazāk kā 25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Viļakas vidusskola, Aglonas vidusskola un Zilupes vidusskola ir iekļautas noteikumu projekta 16.4.4.apakšpunktā. Vienlaikus, nav paredzēti izglītojamo skaita samazināti nosacījumi Kārsavas vidusskolai un Zilupes vidusskolai, jo minētais neatbilst skolu tīkla sakārtošanas konceptam, kā arī nosacījumu pazemināšana palielina risku, ka izglītības iestāžu tīkls atsevišķajos reģionos tiks iesaldēts, neturpinot tā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vidusskola nav iekļauta noteikumu projekta 16.4.4.apakšpunktā, jo tā iekļaušana nav metodoloģiski pamatota. Izglītības iestāžu ar augstu pieejamības risku identificēšanai tika lietota starptautiski validēta metodoloģija. Šī pieeja ļauj nodrošināt vienlīdzīgu attieksmi pret visām pašvaldību vidusskolām, izvairoties no gadījumiem, kad netiek piemēroti objektīvi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 lai arī vēl nav iestrādāta normatīvajos aktos, ir starptautiski atzīta, lai kalpotu par pamatu lēmumu pieņemšanai, tādēļ nav nepieciešams papildināt normatīvos aktus ar atsevišķiem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vidusskola pēc saviem parametriem neatšķiras no citām skolām, kas atrodas līdzīgā ģeogrāfiskā situācijā, tāpēc tās izdalīšana radītu precedentu, kas mazina konsekvenci un skaidrību visā izglītības iestāžu tīkla sakārtošanas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tīkla reformas galvenais mērķis ir nodrošināt ilgtspējīgu un kvalitatīvu vidējās izglītības piedāvājumu visā valstī, un šī mērķa sasniegšanai būtiski ir ievērot vienotus, caurskatāmus kritērijus, nevis paplašināt izņēmumu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Dagdas vidusskolu, Kārsavas vidusskolu un Kaunatas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16.4.4. punktu, papildus iekļaujot Balvu novada Viļakas vidusskolu, Ludzas novada Zilupes vidusskolu un Augšdaugavas novada Zemgales vidusskolu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punktu izteikt sekojošā redakcijā: 10.–12. klašu grupā – 45 izglītojamie, izņemot </w:t>
            </w:r>
            <w:r w:rsidR="00000000" w:rsidRPr="00000000" w:rsidDel="00000000">
              <w:rPr>
                <w:b w:val="1"/>
                <w:rtl w:val="0"/>
              </w:rPr>
              <w:t xml:space="preserve">Viļakas vidusskolu</w:t>
            </w:r>
            <w:r w:rsidR="00000000" w:rsidRPr="00000000" w:rsidDel="00000000">
              <w:rPr>
                <w:rtl w:val="0"/>
              </w:rPr>
              <w:t xml:space="preserve">, Kārsavas vidusskolu, </w:t>
            </w:r>
            <w:r w:rsidR="00000000" w:rsidRPr="00000000" w:rsidDel="00000000">
              <w:rPr>
                <w:b w:val="1"/>
                <w:rtl w:val="0"/>
              </w:rPr>
              <w:t xml:space="preserve">Zilupes vidusskolu</w:t>
            </w:r>
            <w:r w:rsidR="00000000" w:rsidRPr="00000000" w:rsidDel="00000000">
              <w:rPr>
                <w:rtl w:val="0"/>
              </w:rPr>
              <w:t xml:space="preserve">, Dagdas vidusskolu,</w:t>
            </w:r>
            <w:r w:rsidR="00000000" w:rsidRPr="00000000" w:rsidDel="00000000">
              <w:rPr>
                <w:b w:val="1"/>
                <w:rtl w:val="0"/>
              </w:rPr>
              <w:t xml:space="preserve"> Zemgales</w:t>
            </w:r>
            <w:r w:rsidR="00000000" w:rsidRPr="00000000" w:rsidDel="00000000">
              <w:rPr>
                <w:rtl w:val="0"/>
              </w:rPr>
              <w:t xml:space="preserve"> un Kaunatas vidusskolu, kas nodrošina vismaz 30 izglītojamos;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izziņas 5.punktā.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Projektu iesniedzējiem pieejamais Eiropas Reģionālās attīstības fonda finansējums ir šāds: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priekšlikums no Ludzas novada pašvaldības, kas nav uzskatāms par RACA kopējo viedokli, taču nododam to izvērtēšanai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pašvaldība uzskata, ka esošais ERAF finansējuma sadalījums (noteikumu 12. punkts) netiek veikts proporcionāli pierobežas teritoriālo vienību skaitam, radot disproporciju starp pašvaldībām, kuru pierobežas platība un iedzīvotāju skaits būtiski atšķiras, rosinot mainīt šo pieeju. Šāda situācija neveicina taisnīgu finansējuma sadalījumu un nedod pietiekamu atbalstu pašvaldībām ar lielāku pierobežas īpatsvaru un augstākiem drošības riskiem. Vienlaikus anotācijā paredzētais elastības finansējums ir nepieciešams, lai rastu risinājumus pierobežas pašvaldībām, tādējādi veicinot 2025. gada 4. jūlija sanāksmē ar Eiropas Komisijas pārstāvjiem pārrunāto Latgales reģionam mērķēto izglītības jomas investīciju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Precīzāku Ludzas novada pašvaldības argumentāciju aicinu skatīt 22.09.2025. vēstulē Nr. 3.1.1.7/2025/1897-N, kas adresēta arī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Eiropas Reģionālās attīstības fonda finansējuma sadalījums starp projektu iesniedzējiem tiek noteikts proporcionāli pierobežas administratīvo teritoriju un teritoriālo vienību skaitam, īpaši ņemot vērā to atrašanos tiešā ārējās robežas pierobežas joslā. Finansējuma sadalījumā prioritāri tiek iekļautas teritoriālās vienības un izglītības iestādes, kas atrodas ārējās robežas tiešā tuvumā un kuras pakļautas augstākiem drošības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citās vispārējās izglītības iestāžu infrastruktūras investīciju programmās katram projekta iesniedzējam plānotais ES fondu finansējuma apmērs tiek noteikts atbilstoši izglītojamo skaitam pašvaldībā.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Projektu iesniedzējiem pieejamais Eiropas Reģionālās attīstības fonda finansējums ir šāds: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pašvaldība ir saņēmusi VSIA "Latvijas Valsts ceļi" atzinumu par izglītības iestādes piekļuves ceļu pieejamību, stāvokli, plānotajiem uzlabošanas darbiem vai citiem apstākļiem, ar ko pamato šo noteikumu 16.4. apakšpunktā minētā nosacījuma izpildes neiespējamību līdz 2027. gada 31. augustam.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regulējuma viennozīmīgas interpretācijas nolūkos precizēt noteikumu projekta 17.5. apakšpunktu. No minētā apakšpunkta izriet, ka noteikumu projekta 16.4. apakšpunktā minētais nosacījums par minimālā izglītojamo skaita nodrošināšanu nav attiecināms uz atbalstam izvirzītām izglītības iestādēm, attiecībā uz kurām pašvaldība ir saņēmusi valsts sabiedrības ar ierobežotu atbildību "Latvijas Valsts ceļi" atzinumu par izglītības iestādes piekļuves ceļu pieejamību, stāvokli, plānotajiem uzlabošanas darbiem vai citiem apstākļiem, ar ko pamato noteikumu projekta 16.4. apakšpunktā minētā </w:t>
            </w:r>
            <w:r w:rsidR="00000000" w:rsidRPr="00000000" w:rsidDel="00000000">
              <w:rPr>
                <w:u w:val="single"/>
                <w:rtl w:val="0"/>
              </w:rPr>
              <w:t xml:space="preserve">nosacījuma izpildes neiespējamību līdz 2027. gada 31. augustam</w:t>
            </w:r>
            <w:r w:rsidR="00000000" w:rsidRPr="00000000" w:rsidDel="00000000">
              <w:rPr>
                <w:rtl w:val="0"/>
              </w:rPr>
              <w:t xml:space="preserve">. Vēršam uzmanību, ka no minētās normas neizriet pienākums nodrošināt noteikumu projekta 16.4. apakšpunktā minētā nosacījuma izpildi no 2027.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17.5. apakšpunktu, paredzot, ka noteikumu projekta 16.4. apakšpunktā minētais izglītojamo skaita nosacījums noteikumu projekta 17.5. apakšpunktā minētajā izņēmuma gadījumā tiks nodrošināts no 2027. gada 1. septembra, lai atbilstu pašvaldībām kā potenciālo finansējuma saņēmēju un to izglītības iestādēm izvirzītajām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pašvaldība ir saņēmusi VSIA "Latvijas Valsts ceļi" atzinumu par izglītības iestādes piekļuves ceļu pieejamību, stāvokli, plānotajiem uzlabošanas darbiem vai citiem apstākļiem, ar ko pamato šo noteikumu 16.4. apakšpunktā minētā nosacījuma izpildes neiespējamību līdz 2027. gada 31. augustam, vienlaikus pašvaldība sniedz pierādījumos balstītu apliecinājumu par šo noteikumu 16.4. apakšpunktā minēto nosacījumu izpildi pēc 2027. gada 31. augusta.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iekšējo inženiertīklu (iekšējo elektrotīklu,  apkures  sistēmu,  vēdināšanas  un gaisa kondicionēšanas sistēmu, ūdensvada tīklu, kanalizācijas tīklu, automātiskās ugunsgrēka atklāšanas, videonovērošanas sistēmas, tostarp videonovērošanas kameras, balss apziņošanas  sistēmas, trauksmes signalizācijas un automātiskās balss ugunsgrēka izziņošanas sistēmu) izbūves un pārbūves izmaksas. Minētās izmaksas, izņemot vēdināšanas un gaisa kondicionēšanas sistēmu izbūves un pārbūves izmaksas, plāno kā papildinošas šo noteikumu 20.2.1., 20.2.2. un 20.5. apakšpunktā minētajām izmaksām, un tās nepārsniedz 25 procentus no šo noteikumu 20.2.1.,  20.2.2. un 20.5. apakšpunktā minētajām būvdarbu attiecināmajām izmaksām. Ja projekta īstenošanas rezultātā paredzēta visu projektā atbalstāmo vispārējās izglītības iestādes klašu telpu mācību vides uzlabošana, iekšējo inženiertīklu izbūves un pārbūves izmaksas, izņemot vēdināšanas un gaisa kondicionēšanas sistēmu izbūves un pārbūves izmaksas, nepārsniedz 25 procentus no projekta kopējām attiecināmajām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administratīvā sloga mazināšanu un vienkāršotu izmaksu aprēķinu procesu, tādējādi samazinot iespējamo kļūdu risku, aicinām izvērtēt iespēju pārskatīt un vienkāršot inženiertīklu izmaksu ierobežojuma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apsvērt iespēju noteikt vienotu inženierkomunikāciju izmaksu ierobežojumu 25% apmērā no projekta kopējām attiecināmajām izmaksām viena projekta ietvaros. Tādējādi gadījumos, kad projekta iesniegumā tiek attīstītas vairākas izglītības iestādes un katrai izglītības iestādei ir atšķirīgs pārbūves apjoms (pilna apmēra pārbūve vai atsevišķu telpu pārbūve), nebūtu katrai skolai jāpiemēro attiecīgais inženiertīklu izmaksu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iekšējo inženiertīklu (iekšējo elektrotīklu,  apkures  sistēmu,  vēdināšanas  un gaisa kondicionēšanas sistēmu, ūdensvada tīklu, kanalizācijas tīklu, automātiskās ugunsgrēka atklāšanas, videonovērošanas sistēmas, tostarp videonovērošanas kameras, balss apziņošanas  sistēmas, trauksmes signalizācijas un automātiskās balss ugunsgrēka izziņošanas sistēmu) izbūves un pārbūves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inženiertīklu izbūves un pārbūves izmaksas, izņemot vēdināšanas un gaisa kondicionēšanas sistēmu izbūves un pārbūves izmaksas, nepārsniedz 25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nodrošinātu investīcijas plānošanu mācību telpās, kas uzlabo mācību telpu fizisko vidi, izmaksu ierobežojumiem par  inženiertīkliem ir jāizriet no būvdarbu izmaksām, nevis projekta attiecināmajām izmaksām. Vēršam uzmanību, ka šāds izmaksu ierobežojumu princips tika ievērots arī ES fondu 2014.-2020.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iekšējo inženiertīklu (iekšējo elektrotīklu,  apkures  sistēmu,  vēdināšanas  un gaisa kondicionēšanas sistēmu, ūdensvada tīklu, kanalizācijas tīklu, automātiskās ugunsgrēka atklāšanas, videonovērošanas sistēmas, tostarp videonovērošanas kameras, balss apziņošanas  sistēmas, trauksmes signalizācijas un automātiskās balss ugunsgrēka izziņošanas sistēmu) izbūves un pārbūves izmaksas. Minētās izmaksas, izņemot vēdināšanas un gaisa kondicionēšanas sistēmu izbūves un pārbūves izmaksas, plāno kā papildinošas šo noteikumu 20.2.1., 20.2.2. un 20.5. apakšpunktā minētajām izmaksām, un tās nepārsniedz 25 procentus no šo noteikumu 20.2.1.,  20.2.2. un 20.5. apakšpunktā minētajām būvdarbu attiecināmajām izmaksām. Ja projekta īstenošanas rezultātā paredzēta visu projektā atbalstāmo vispārējās izglītības iestādes klašu telpu mācību vides uzlabošana, iekšējo inženiertīklu izbūves un pārbūves izmaksas, izņemot vēdināšanas un gaisa kondicionēšanas sistēmu izbūves un pārbūves izmaksas, nepārsniedz 25 procentus no projekta kopējām attiecināmajām izmaksām;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teritorijas labiekārtošanas un drošības nodrošināšanas, tai skaitā attiecīgo elementu iegādes un uzstādīšanas (piemēram, soliņi, celiņi, apgaismojums, žogi, terases, nojumes, videonovērošanas kameras, apsardzes sistēma), izmaksas, nepārsniedzot divus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svītrot 20.8. apakšpunkta daļu - izmaksas, nepārsniedzot divus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izmaksu ierobežojumu minēt 21.punktā "21. Šo noteikumu 20.6., 20.7., </w:t>
            </w:r>
            <w:r w:rsidR="00000000" w:rsidRPr="00000000" w:rsidDel="00000000">
              <w:rPr>
                <w:u w:val="single"/>
                <w:rtl w:val="0"/>
              </w:rPr>
              <w:t xml:space="preserve">20.8. </w:t>
            </w:r>
            <w:r w:rsidR="00000000" w:rsidRPr="00000000" w:rsidDel="00000000">
              <w:rPr>
                <w:rtl w:val="0"/>
              </w:rPr>
              <w:t xml:space="preserve">apakšpunktā minētās izmaksas kopā nepārsniedz 5</w:t>
            </w:r>
            <w:r w:rsidR="00000000" w:rsidRPr="00000000" w:rsidDel="00000000">
              <w:rPr>
                <w:u w:val="single"/>
                <w:rtl w:val="0"/>
              </w:rPr>
              <w:t xml:space="preserve">2</w:t>
            </w:r>
            <w:r w:rsidR="00000000" w:rsidRPr="00000000" w:rsidDel="00000000">
              <w:rPr>
                <w:rtl w:val="0"/>
              </w:rPr>
              <w:t xml:space="preserve"> procentus no projekta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teritorijas labiekārtošanas un drošības nodrošināšanas, tai skaitā attiecīgo elementu iegādes un uzstādīšanas (piemēram, soliņi, celiņi, apgaismojums, žogi, terases, nojumes, videonovērošanas kameras, apsardzes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esošā noteikumu projekta redakcija mazina risku, ka investīcijas tiks izmantotas darbībām, kas tiešā veidā nav saistītas ar mācību satura apguvi. Piemēram, atbilstoši priekšlikumā piedāvātajai noteikumu 21. punkta redakcijai var tikt iesniegts projekta iesniegums, ar nesamērīgi lielām teritorijas labiekārtošanas faktiskajām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teritorijas labiekārtošanas un drošības nodrošināšanas, tai skaitā attiecīgo elementu iegādes un uzstādīšanas (piemēram, soliņi, celiņi, apgaismojums, žogi, terases, nojumes, videonovērošanas kameras, apsardzes sistēma), izmaksas, nepārsniedzot divus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20.6. un 20.7. apakšpunktā minētās izmaksas kopā nepārsniedz 50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21.punktā noteiktajā izmaksu ierobežojumā pievienot 20.8.apakšpunktu - par teritorijas labiekārtošanas izmaksām, attiecīgi palielinot izmaksu ierobežojuma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teritorijas labiekārtošanas un drošības nodrošināšanas, tai skaitā attiecīgo elementu iegādes un uzstādīšanas (piemēram, soliņi, celiņi, apgaismojums, žogi, terases, nojumes, videonovērošanas kameras, apsardzes sistēma), izmaksas, </w:t>
            </w:r>
            <w:r w:rsidR="00000000" w:rsidRPr="00000000" w:rsidDel="00000000">
              <w:rPr>
                <w:u w:val="single"/>
                <w:rtl w:val="0"/>
              </w:rPr>
              <w:t xml:space="preserve">nepārsniedzot divus procentus no projekta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20.6., 20.7.</w:t>
            </w:r>
            <w:r w:rsidR="00000000" w:rsidRPr="00000000" w:rsidDel="00000000">
              <w:rPr>
                <w:u w:val="single"/>
                <w:rtl w:val="0"/>
              </w:rPr>
              <w:t xml:space="preserve">, 20.8. </w:t>
            </w:r>
            <w:r w:rsidR="00000000" w:rsidRPr="00000000" w:rsidDel="00000000">
              <w:rPr>
                <w:rtl w:val="0"/>
              </w:rPr>
              <w:t xml:space="preserve">apakšpunktā minētās izmaksas kopā nepārsniedz 5</w:t>
            </w:r>
            <w:r w:rsidR="00000000" w:rsidRPr="00000000" w:rsidDel="00000000">
              <w:rPr>
                <w:u w:val="single"/>
                <w:rtl w:val="0"/>
              </w:rPr>
              <w:t xml:space="preserve">2</w:t>
            </w:r>
            <w:r w:rsidR="00000000" w:rsidRPr="00000000" w:rsidDel="00000000">
              <w:rPr>
                <w:rtl w:val="0"/>
              </w:rPr>
              <w:t xml:space="preserve">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20.6. un 20.7. apakšpunktā minētās izmaksas kopā nepārsniedz 50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par objektu skaitu, kuros Eiropas Reģionālās attīstības fonda ieguldījumu rezultātā ir nodrošināta vides un informācijas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HP rādītāja redakciju atbilstoši veiktajiem grozījumiem Vadlīniju "Horizontālais princips “Vienlīdzība, iekļaušana, nediskriminācija un pamattiesību ievērošana” vadlīnijas īstenošanai un uzraudzībai (2021-2027)”" 4.pielikumā "Horizontālā principa „Vienlīdzība, iekļaušana, nediskriminācija un pamattiesību ievērošana” rādītāji". Vadlīnijas ir pieejamas šeit: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objektu, kuros ir nodrošināta vides un informācijas piekļūstamība,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objektu, kuros ir nodrošināta vides un informācijas piekļūstamība,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33.2.2. par vides un informācijas piekļūstamības pašnovērtējumu skaitu atbilstoši Labklājības ministrijas izstrādātajai metodikai;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HP rādītāja redakciju atbilstoši veiktajiem grozījumiem Vadlīniju "Horizontālais princips “Vienlīdzība, iekļaušana, nediskriminācija un pamattiesību ievērošana” vadlīnijas īstenošanai un uzraudzībai (2021-2027)”" 4.pielikumā "Horizontālā principa „Vienlīdzība, iekļaušana, nediskriminācija un pamattiesību ievērošana” rādītāji". Vadlīnijas ir pieejamas šeit: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33.2.2. veikto vides un informācijas piekļūstamības pašnovērtējumu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33.2.2. veikto vides un informācijas piekļūstamības pašnovērtējumu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 par konsultatīva rakstura pasākumu skaitu par projekta ietvaros būvētās vides, informācijas tehnoloģiju risinājumu un informācijas tehnoloģiju piekļūstamību personām ar dažādiem funkcionāliem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HP rādītāja redakciju atbilstoši veiktajiem grozījumiem Vadlīniju "Horizontālais princips “Vienlīdzība, iekļaušana, nediskriminācija un pamattiesību ievērošana” vadlīnijas īstenošanai un uzraudzībai (2021-2027)”" 4.pielikumā "Horizontālā principa „Vienlīdzība, iekļaušana, nediskriminācija un pamattiesību ievērošana” rādītāji". Vadlīnijas ir pieejamas šeit: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 konsultatīva rakstura pasākumu par būvētās vides, informācijas un tehnoloģiju un to risinājumu  piekļūstamību personām ar dažādiem funkcionēšanas ierobežojumiem skaits</w:t>
            </w:r>
            <w:r w:rsidR="00000000" w:rsidRPr="00000000" w:rsidDel="00000000">
              <w:rPr>
                <w:u w:val="single"/>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Skatīt precizēto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 konsultatīva rakstura pasākumu par būvētās vides, informācijas un tehnoloģiju un to risinājumu  piekļūstamību personām ar dažādiem funkcionēšanas ierobežojumiem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minēto 2022. gada 24. maija Ministru kabineta noteikumu Nr. 310 </w:t>
            </w:r>
            <w:r w:rsidR="00000000" w:rsidRPr="00000000" w:rsidDel="00000000">
              <w:rPr>
                <w:i w:val="1"/>
                <w:rtl w:val="0"/>
              </w:rPr>
              <w:t xml:space="preserve">"Noteikumi par Latvijas Republikas valsts robežas joslu, patrulēšanas joslu, pierobežas joslu un pierobežu, kā arī pierobežas, pierobežas joslas, valsts robežas joslas un patrulēšanas joslas norāžu paraugiem un to uzstādīšanas kārtību" </w:t>
            </w:r>
            <w:r w:rsidR="00000000" w:rsidRPr="00000000" w:rsidDel="00000000">
              <w:rPr>
                <w:rtl w:val="0"/>
              </w:rPr>
              <w:t xml:space="preserve">(turpmāk - MK noteikumi Nr. 310) mērķis ir izveidot normatīvo regulējumu par robežas režīma zonu definīcijām, to platumiem un robežjoslu ierīkojumu, kā arī par norāžu paraugiem un to uzstādīšanas kārtību Latvijā, kur attiecīgi nav ietverti jautājumi, kas saistīti, piemēram, ar izglītības pakalpojumu attīstību, </w:t>
            </w:r>
            <w:r w:rsidR="00000000" w:rsidRPr="00000000" w:rsidDel="00000000">
              <w:rPr>
                <w:b w:val="1"/>
                <w:rtl w:val="0"/>
              </w:rPr>
              <w:t xml:space="preserve">aicinām noteikumu projekta anotācijā iekļauto pamatojumu attiecībā uz pašvaldību izvēli balstīt uz Rīcības plānu Latvijas Austrumu pierobežas ekonomiskajai izaugsmei un drošības stiprināšanai 2025.–2027. gadam</w:t>
            </w:r>
            <w:r w:rsidR="00000000" w:rsidRPr="00000000" w:rsidDel="00000000">
              <w:rPr>
                <w:rtl w:val="0"/>
              </w:rPr>
              <w:t xml:space="preserve"> (turpmāk - Rīcības plāns) nevis MK noteikumiem Nr. 310. Viens no Rīcības plānā iekļautajiem atbalsta virzieniem vērsts uz cilvēkresursiem, t.sk. izglītības jomā stiprinot vispārējās izglītības pieejamību Austrumu pierobežā.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Skatīt precizēto anotācijas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4.2.1.5. trešās projektu iesniegumu atlases kārtas mērķis ir sniegt atbalstu pašvaldībām, kurām ir noteikta pierobeža saskaņā ar normatīvajiem aktiem par Latvijas Republikas valsts robežas joslu, patrulēšanas joslu, pierobežas joslu un pierobežu, kā arī pierobežas, pierobežas joslas, valsts robežas joslas un patrulēšanas joslas norāžu paraugiem un to uzstādīšanas kārtību, lai tās uzlabotu vispārējās izglītības iestāžu mācību vidi, efektīvi koncentrētu un izmantotu resursus un stiprinātu vispārējās izglītības iestādes ar mūsdienīgas un kvalitatīvas pamata un vidējās izglītības īstenošanai nepieciešamo nodrošinājumu, tādējādi uzlabojot piekļuvi kvalitatīviem pakalpojumiem izglītības jomā, kur attiecīgi kā projekta iesniedzēji tiek noteiktas 7 Latvijas Austrumu pierobežas pašvaldības, </w:t>
            </w:r>
            <w:r w:rsidR="00000000" w:rsidRPr="00000000" w:rsidDel="00000000">
              <w:rPr>
                <w:b w:val="1"/>
                <w:rtl w:val="0"/>
              </w:rPr>
              <w:t xml:space="preserve">aicinām izskatīt iespēju ar šī atbalsta pasākuma ieviešanu uzskatīt par izpildītu Ministru kabineta (turpmāk - MK) 2023.gada 21.novembra sēdes protokollēmuma Nr. 58, 66. § 7.punktā noteikto uzdevumu</w:t>
            </w:r>
            <w:r w:rsidR="00000000" w:rsidRPr="00000000" w:rsidDel="00000000">
              <w:rPr>
                <w:rtl w:val="0"/>
              </w:rPr>
              <w:t xml:space="preserve">, kur uzdots </w:t>
            </w:r>
            <w:r w:rsidR="00000000" w:rsidRPr="00000000" w:rsidDel="00000000">
              <w:rPr>
                <w:i w:val="1"/>
                <w:rtl w:val="0"/>
              </w:rPr>
              <w:t xml:space="preserve">VARAM līdz 2024. gada 31. martam sadarbībā ar Finanšu ministriju un IZM izstrādāt konceptu atsevišķai finanšu programmai, lai atbalstītu pie Eiropas Savienības ārējās robežas esošās pašvaldības, kurās politiski drošības apsvērumu dēļ tiek nolemts saglabāt izglītības iestādi, neskatoties uz to, ka konkrētajā izglītības iestādē izglītojamo skaits neatbilst valstī noteiktajiem kvantitatīvajiem kritērijiem ar mērķi nodrošināt finansējumu kvalitatīvas izglītības īstenošanai, kā arī pievēršot pastiprinātu uzmanību izglītības iestādē esošo izglītojamo un personāla drošības nodrošināšanai, ņemot vērā potenciālo apdraudējumu</w:t>
            </w:r>
            <w:r w:rsidR="00000000" w:rsidRPr="00000000" w:rsidDel="00000000">
              <w:rPr>
                <w:rtl w:val="0"/>
              </w:rPr>
              <w:t xml:space="preserve">. Priekšlikuma īstenošanas gadījumā lūdzam paredzēt attiecīgu papildinājumu šī tiesību akta MK sēdes protokollēmuma projektā, nosakot iepriekš minēto uzdevumu par izpildītu, kā arī nodrošinot sasaisti ar TAP uzdevumu ID 23-UZ-632.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priekšlikumā minētais uzdevums nevar pilnībā tikt attiecināts uz 4.2.1.5. pasākuma 3.kārtu, ievērojot, ka tās mērķis tam ir daļēji atbilstošs.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izskatījusi Izglītības un zinātnes ministrijas (turpmāk - IZM) izstrādāto tiesību aktu - noteikumu projektu</w:t>
            </w:r>
            <w:r w:rsidR="00000000" w:rsidRPr="00000000" w:rsidDel="00000000">
              <w:rPr>
                <w:i w:val="1"/>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r w:rsidR="00000000" w:rsidRPr="00000000" w:rsidDel="00000000">
              <w:rPr>
                <w:rtl w:val="0"/>
              </w:rPr>
              <w:t xml:space="preserve"> un savas kompetences ietvaros sniedz sekojošu priekšlikumu. Lūdzam sniegt IZM vērtējumu par VARAM sadarbībā ar IZM un Satiksmes ministriju 2024.gadā veikto apkopojumu ar pašvaldību vajadzībām, kas tika veikts, ievērojot Ministru kabineta 2023.gada 24.oktobra sēdes protokollēmuma Nr. 53, 52. § 8.punktā doto uzdevumu, attiecīgi, </w:t>
            </w:r>
            <w:r w:rsidR="00000000" w:rsidRPr="00000000" w:rsidDel="00000000">
              <w:rPr>
                <w:b w:val="1"/>
                <w:rtl w:val="0"/>
              </w:rPr>
              <w:t xml:space="preserve">kā plānotais 4.2.1.5. pasākums "Izglītības iestāžu nodrošinājums pilnveidotā vispārējās izglītības satura kvalitatīvai ieviešanai pamata un vidējās izglītības pakāpē" sniegs iespēju īstenot iepriekš minētās pašvaldību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 Vienlaikus skaidrojam, ka pasākuma trešās kārtas atbalstāmās darbības tiek noteiktas, balstoties uz dažādiem informācijas avotiem (minēts anotācijā), savukārt, kādā veidā darbības risinās konkrētas pašvaldības vajadzības vai problēmas, tiks aprakstīts pašvaldības projekta iesniegumā, kurā sniegtais pamatojums balstīsies uz pašvaldības attīstības programmu un tās investīciju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17.decembra noteikumu Nr.879 “Noteikumi par kritērijiem un kārtību, kādā tiek izvērtēti pašvaldību investīciju projektu pieteikumi aizdevuma saņemšanai” 21.punktu Ministru kabineta 2024. gada 5. marta noteikumi Nr. 159 “Kritēriji un kārtība, kādā tiek izvērtēti pašvaldību investīciju projektu pieteikumi valsts budžeta aizdevuma saņemšanai” ir zaudējuši spēku. Ņemot vērā iepriekš minēto lūdzam precizēt anotācijas 14.lpp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8.1.9. anotācijas sadaļā HP vispārīgo un specifisko darbību redakcijas atbilstoši aktuālajai Vadlīniju “Horizontālais princips “Vienlīdzība, iekļaušana, nediskriminācija un pamattiesību ievērošana” vadlīnijas īstenošanai un uzraudzībai (2021-2027)” versijai.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ir pieejamas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īstenošanā izvērtēs un ņems vērā arī izglītojamo ar speciālām vajadzībām vajadzības, t.i., gan izglītības iestādes fiziskā, gan mācību vide jāveido pēc iespējas iekļaujoša, radot priekšnosacījumus, ka bērns ar speciālām vajadzībām spēj pēc iespējas patstāvīgi iekļauties mācību apguves procesā, t.sk. ņemot vērā pašvaldības kā izglītības iestādes dibinātāja atbildību kvalitatīvas un piekļūstamas izglītības iestāžu mācību vides veidošanā.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pasākumam ir ietekme uz personu ar invaliditāti vienlīdzīgām iespējām un tiesībām atbilstoši horizontālā principa “Vienlīdzība, iekļaušana, nediskriminācija un pamattiesību ievērošana” vadlīnijām 2021 – 2027. gadam (pieejamas: https://www.lm.gov.lv/lv/vadlinijas-horizontala-principa-vienlidziba-ieklausana-nediskriminacija-un-pamattiesibu-ieverosana-istenosanai-un-uzraudzibai-2021-2027),un var tikt īstenotas specifiskas un vispārīgas minētā horizontālā principa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r w:rsidR="00000000" w:rsidRPr="00000000" w:rsidDel="00000000">
              <w:rPr>
                <w:u w:val="single"/>
                <w:rtl w:val="0"/>
              </w:rPr>
              <w:t xml:space="preserve">-projekta vai finansējuma saņēmēja tīmekļa vietnē tiks norādīta informācija par projekta darbību īstenošanas vietas piekļūstamību cilvēkiem ar invaliditāti un funkcionāliem traucējumiem, vecākiem ar maziem bērniem un senioriem;</w:t>
            </w:r>
            <w:r w:rsidR="00000000" w:rsidRPr="00000000" w:rsidDel="00000000">
              <w:rPr>
                <w:u w:val="single"/>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 tiks nodrošināti konsultatīva rakstura pasākumi par vides un informācijas, aprīkojuma, informācijas tehnoloģiju risinājumu piekļūstamību personām ar dažādiem funkcionēšanas ierobežojumiem  (attiecīgi pievienojot dokumentus, piem. konsultāciju protokolus u.c.),</w:t>
            </w:r>
            <w:r w:rsidR="00000000" w:rsidRPr="00000000" w:rsidDel="00000000">
              <w:rPr>
                <w:u w:val="single"/>
                <w:rtl w:val="0"/>
              </w:rPr>
              <w:t xml:space="preserve"> - publiskās ēkas būvniecības vai atjaunošanas procesā objektam tiks veikts vides un informācijas piekļūstamības pašnovērtējums, kur iegūto punktu skaits nav zemāks par 8 (LM vides un informācijas piekļūstamības pašnovērtējuma metodika pieejama šeit: https://www.lm.gov.lv/lv/vides-pieklustamibas-pasnovertejums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plānojot būves dizainu, tiks ņemts vērā daudzveidības un iekļaušanas princips, balstoties uz </w:t>
            </w:r>
            <w:r w:rsidR="00000000" w:rsidRPr="00000000" w:rsidDel="00000000">
              <w:rPr>
                <w:u w:val="single"/>
                <w:rtl w:val="0"/>
              </w:rPr>
              <w:t xml:space="preserve">cilvēku ar funkcionēšanas ierobežojumiem</w:t>
            </w:r>
            <w:r w:rsidR="00000000" w:rsidRPr="00000000" w:rsidDel="00000000">
              <w:rPr>
                <w:rtl w:val="0"/>
              </w:rPr>
              <w:t xml:space="preserve">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 papildus būvnormatīvā LBN 200-21 noteiktajam,  projekta ietvaros tiks īstenotas labās prakses darbības, kas īpaši veicina vides un informācijas piekļūstamību cilvēkiem ar funkcionēšanas ierobežojumiem</w:t>
            </w:r>
            <w:r w:rsidR="00000000" w:rsidRPr="00000000" w:rsidDel="00000000">
              <w:rPr>
                <w:u w:val="single"/>
                <w:rtl w:val="0"/>
              </w:rPr>
              <w:t xml:space="preserve">(piemērus skatīt LM izstrādātajos materiālos par vides un informācijas piekļūstamības labās prakses  un nepārdomātu risinājumu piemēriem. Pieejams šeit: https://www.lm.gov.lv/lv/labas-prakses-piemeri-2)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projekta iesniegumu atlases kārtas investīcijas atbilst Apvienoto Nāciju organizācijas Konvencijas par personu ar invaliditāti tiesībām prasībām, tostarp 4. un 5. vispārīgajam komentāram un Konvencijas par personu ar invaliditāti tiesībām komitejas noslēguma apsvērumiem vispārīgajiem principiem, cilvēktiesību prasībām, proti, Eiropas Savienības Pamattiesību hartai, Eiropas Sociālo tiesību pīlāram un Stratēģijai par personu ar invaliditāti tiesībām 2021.–2030. gadam, t.sk. ka kopumā veicot investīcijas nevar tikt veicināta nelabvēlīgākā situācijā esošu grupu segregācija/ izolācija.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8.1.10. anotācijas sadaļā HP vispārīgo un specifisko darbību redakcijas atbilstoši aktuālajai Vadlīniju “Horizontālais princips “Vienlīdzība, iekļaušana, nediskriminācija un pamattiesību ievērošana” vadlīnijas īstenošanai un uzraudzībai (2021-2027)” versijai.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ir pieejamas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projektu iesniegumu atlases kārtas ietvaros var būt īstenotas darbības, kas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vadībā un īstenošanā tiks virzīti pasākumi, kas sekmē darba un ģimenes dzīves līdzsvaru, paredzot elastīga un nepilna laika darba iespēju nodrošināšanu vecākiem ar bērniem un personām, kuras aprūpē tuviniekus;</w:t>
            </w:r>
            <w:r w:rsidR="00000000" w:rsidRPr="00000000" w:rsidDel="00000000">
              <w:rPr>
                <w:u w:val="single"/>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otrajā rindkopā precizēt atsauci uz vadlīnijām "Horizontālais princips “Vienlīdzība, iekļaušana, nediskriminācija un pamattiesību ievērošana” vadlīnijas īstenošanai un uzraudzībai (2021-2027)”". Sk. piedāvāto redakciju, kur ir pieejama saite uz jaunāko vadlīniju versiju.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uzkrāšanā un darbību īstenošanā finansējuma saņēmējs izmanto Labklājības ministrijas un Tieslietu ministrijas izstrādātās vadlīnijas “Horizontālais princips “Vienlīdzība, iekļaušana, nediskriminācija un pamattiesību ievērošana” vadlīnijas īstenošanai un uzraudzībai (2021-2027)” (atrodamas: https://www.lm.gov.lv/lv/vadlinijas-horizontala-principa-vienlidziba-ieklausana-nediskriminacija-un-pamattiesibu-ieverosana-istenosanai-un-uzraudzibai-2021-2027).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05.08.2025. 11:06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norāda, ka Pasākuma mērķis ir sniegt atbalstu pašvaldībām, kuras noteiktā termiņā pēc šo ministru kabineta noteikumu pieņemšanas izpilda Izglītības un zinātnes ministrijas noteiktos izglītības iestāžu tīkla efektivitātes kritērijus un kuras  nav saņēmušas atbalstu pasākuma otrās projektu iesniegumu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pasākuma trešās projektu iesniegumu atlases kārtas mērķi-   sniegt atbalstu pašvaldībām, kam ir noteikta pierobeža gar ārējo Latvijas Republikas sauszemes robežu un kuras  nav saņēmušas atbalstu pasākuma otrās projektu iesniegumu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ministru kabineta noteikumu mērķis ir nepamatoti diskriminējošs pret citām Latvijas pašvaldībām, kuru uzdevums vienlīdz ir nodrošināt kvalitatīvu un pieejamu izglītību pašvaldības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izvērtēt iespēju izmantot finanšu resursus, kas ir plānoti ES ārējās robežas atbalstam. </w:t>
            </w:r>
            <w:r w:rsidR="00000000" w:rsidRPr="00000000" w:rsidDel="00000000">
              <w:rPr>
                <w:i w:val="1"/>
                <w:rtl w:val="0"/>
              </w:rPr>
              <w:t xml:space="preserve">ES ārējā atbalsta IZM vērš uzmanību, ka Ministru kabineta 2023.gada 21.novembra sēdes protokollēmuma Nr. 58, 66. § 7.punkts nosaka VARAM līdz 2024. gada 31. martam sadarbībā ar Finanšu ministriju (turpmāk – FM) un IZM izstrādāt konceptu atsevišķai finanšu programmai, lai atbalstītu pie Eiropas Savienības (turpmāk – ES) ārējās robežas esošās pašvaldības, kurās politiski drošības apsvērumu dēļ tiek nolemts saglabāt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4.2.1.5. pasākuma 2.kārtas ietvaros tiek sniegts atbalsts pašvaldībām, kas  noteiktā termiņā izpildīja Ministru kabineta noteikumos par 4.2.1.5. pasākuma 2.kārtas  īstenošanu noteiktos vispārējās izglītības iestāžu tīkla sakārtošanas kritērijus. 2025.gada 18. jūnija Ministru kabineta rīkojumā Nr. 353 „Par Eiropas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 18 pašvaldībām ir noteikts pieejamais ERAF finansējums. Papildu šim Izglītības un zinātnes ministrija ir ierosinājusi grozījumus minētajos Ministru kabineta noteikumos, paredzot organizēt otro projektu iesniedzēju priekšatlasi, nosakot termiņu, līdz kurām pašvaldībām jāsakārto vispārējās izglītības tīkls, kā arī palielinot 2.kārtas ERAF finansējumus par 8.5 milj. euro. Vienlaikus, 4.2.1.5. pasākuma 2.kārtas nosacījumu  saskaņošanas laikā 2025.gada 9.janvārī notikusi izglītības un zinātnes ministres un LPS, LIAA un RACA pārstāvju tikšanās, kuras laikā pārstāvji minēja, ka atbalsts būtu nepieciešams ne tikai pašvaldībām, kas sakārtoja izglītības iestāžu skolu tīklus, kā arī pašvaldību vajadzības ir ļoti dažādas. Līdz ar to, 3.kārtas mērķis nav diskriminējošs pret citām pašvaldībām, bet vienlaikus ir labvēlīgs tām pašvaldībām, kas savas teritoriālās atrašanās vietas sastopas ar grūtībām vispārējās izglītības iestāžu tīkla sakārtošanas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3.kārtas mērķis ir sniegt atbalstu pierobežas pašvaldībām, atsaucoties uz to, ka šobrīd valsts drošības prioritāšu kontekstā Latgale/pierobeža ir Rīcības plānā Latvijas Austrumu pierobežas ekonomiskajai izaugsmei un drošības stiprināšanai 2025.–2027. gadam (turpmāk - Rīcības plāns) noteiktais reģions. Šo aktualitāti akcentē š.g. 4.jūlijā notikusī diskusija ar Eiropas Komisiju, kā arī Pasaules Bankas pētījums, kas arī fokusēts uz Austrumu pierobežu (Pasaules Bankas un Eiropas Komisijas kopīgās Baltijas reģionu izlīdzināšanās iniciatīvas (Baltics Catching-Up Regions Initiative (CuRI)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pieminētais Ministru kabineta 2023.gada 21.novembra sēdes protokollēmuma Nr. 58, 66. § 7.punkts, kas nosaka VARAM līdz 2024. gada 31. martam sadarbībā ar Finanšu ministriju (turpmāk – FM) un IZM izstrādāt konceptu atsevišķai finanšu programmai, lai atbalstītu pie Eiropas Savienības (turpmāk – ES) ārējās robežas esošās pašvaldības, kurās politiski drošības apsvērumu dēļ tiek nolemts saglabāt izglītības iestādi.), tiek izpildīts ar VARAM izstrādāto informatīvo ziņojumu „Par Ministru kabineta 2023.gada 24.oktobra sēdes protokollēmuma (Prot. Nr. 53, 52. §) 8.punktā un Ministru kabineta 2023.gada 21.novembra sēdes protokollēmuma (Prot. Nr. 58, 66. §) 7.punktā doto uzdevumu izpildi” (25-TA-357). Papildu finanšu līdzekļi pierobežas pašvaldībām netiek  paredzēti, līdz ar to, 4.2.1.5. pasākuma 3.kārtas atbalsts ir novirzāms pierobežas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trešās projektu iesniegumu atlases kārtas mērķis ir sniegt atbalstu pašvaldībām, kam ir noteikta pierobeža gar ārējo Latvijas Republikas sauszemes robežu un kuras  nav saņēmušas atbalstu pasākuma otrās projektu iesniegumu atlases kārtas ietvaros, lai tās uzlabotu vispārējās izglītības iestāžu mācību vidi, efektīvi koncentrētu un izmantotu resursus un stiprinātu vispārējās izglītības iestādes ar mūsdienīgas un kvalitatīvas pamata un vidējās izglītības īstenošanai nepieciešamo nodrošinājumu, tādējādi uzlabojot piekļuvi kvalitatīviem pakalpojumiem izglītības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pasākuma trešās projektu iesniegumu atlases kārtas mērķis ir sniegt atbalstu pašvaldībām, kam ir noteikta pierobeža gar ārējo Latvijas Republikas sauszemes robežu un kuras  nav saņēmušas atbalstu pasākuma otrās projektu iesniegumu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mērķim jābūt sniegt atbalstu pašvaldībām, kuras noteiktā termiņā pēc šo ministru kabineta noteikumu pieņemšanas izpilda Izglītības un zinātnes ministrijas noteiktos izglītības iestāžu tīkla efektivitātes kritērijus un kuras  nav saņēmušas atbalstu pasākuma otrās projektu iesniegumu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ministru kabineta noteikumu mērķis ir nepamatoti diskriminējošs pret citām Latvijas pašvaldībām, kuru uzdevums vienlīdz ir nodrošināt kvalitatīvu un pieejamu izglītību pašvaldības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Sk.skaidrojumu pie 1.punkta.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trešās projektu iesniegumu atlases kārtas mērķis ir sniegt atbalstu pašvaldībām, kurām ir noteikta pierobeža saskaņā ar normatīvajiem aktiem par Latvijas Republikas valsts robežas joslu, patrulēšanas joslu, pierobežas joslu un pierobežu, kā arī pierobežas, pierobežas joslas, valsts robežas joslas un patrulēšanas joslas norāžu paraugiem un to uzstādīšanas kārtību (turpmāk – pašvaldības, kam ir noteikta pierobeža), lai tās uzlabotu vispārējās izglītības iestāžu mācību vidi, efektīvi koncentrētu un izmantotu resursus un stiprinātu vispārējās izglītības iestādes ar mūsdienīgas un kvalitatīvas pamata un vidējās izglītības īstenošanai nepieciešamo nodrošinājumu, tādējādi uzlabojot piekļuvi kvalitatīviem pakalpojumiem izglītības jomā.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iesniedzēji ir Augšdaugavas novada pašvaldība, Balvu novada pašvaldība, Krāslavas novada pašvaldība, Ludzas novada pašvaldība, Preiļu novada pašvaldība un Rēzeknes novada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trešās projektu iesniegumu atlases kārtas mērķis ir sniegt atbalstu pašvaldībām un mērķa grupa ir pašvaldības, kam ir noteikta pierobeža gar ārējo Latvijas Republikas sauszemes robežu. Iebildums no Alūksnes novada pašvaldības, kura, kā viena no Austrumu pierobežas pašvaldībām, kura ir jāstiprina, ir izslēgta no 4.2.1.5. pasākuma ietvaros noteiktajiem projektu iesniedzējiem un finansējuma saņēmējiem, pamatojoties uz to, ka ir saņēmusi finansējumu šī paša pasākuma otrās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verā, to, ka Alūksnes novada pašvaldība ir ne tikai Latvijas Austrumu pierobeža, bet arī Eiropas Savienības un NATO ārējā robeža, līdz ar to šī brīža ģeopolitiskajā situācijā ir jāpievērš daudz lielāka uzmanība Austrumu pierobežai, lai reģionā dzīvojošie iedzīvotāji justos droši ar vēlmi palikt dzīvot un strādāt Latvijā. Kā arī Alūksnes novadā atrodas viena no sešām militārajām bāzēm uz kuru ar vien vairāk tiek nosūtīti darbā speciālisti, kuri pārceļas uz dzīvi ar visu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no savas puses dara visu priekš iedzīvotāju labklājības un izglītības. Pēdējo 3 gadu laikā Alūksnes novadā ir veiktas vērienīgas izglītības reformas un pašvaldība ir Valsts kasē ņēmusi aizņēmumu papildus ES piešķirtajam finansējumam izglītības sistēmas sakārtošanai. Taču, lai pilnībā atbilstoši veiktajai izglītības reformai tiktu nodrošināts izglītības līmenis 4.2.1.5. pasākuma otrajā atlases kārtā piešķirtais finansējums ir nepietiekams un ieguldījumi ir nepieciešami lielākā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arī tas, ka pašvaldības, kuras ir veikušas izglītības reformas saņem finansējumu tāpat kā pašvaldības, kuras nav veikušas izglītības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projekta gatavības pakāpe tiek prasīta, kā vidējas gatavības pakāpe, pretēji otrās atlases kārtas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Elastības finansējumu pēc būtības izsludina kā atklātu projektu konkursu un tajā ir iespēja piedalīties ikvienai pašvaldībai konkurējot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lūdz pārskatīt trešās atlases kārtas tiesību aktu, iekļaujot arī Alūksnes novada pašvaldību kā finansējuma saņēmēju, pamatojoties uz veiktajām izglītības reformām un lokāciju - ne tikai Latvijas Austrumu pierobeža, bet arī Eiropas Savienības un NATO ārējā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iesniedzēji ir Alūksnes novadu pašvaldība, Augšdaugavas novada pašvaldība, Balvu novada pašvaldība, Krāslavas novada pašvaldība, Ludzas novada pašvaldība, Preiļu novada pašvaldība un Rēzeknes novada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Projektu iesniedzējiem pieejamais Eiropas Reģionālās attīstības fonda finansējums ir šāds: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ministriju pamatot un papildināt anotāciju ar informāciju par finansējuma apjoma aprēķinu katrai pašvaldībai, t.sk. vai investīciju apjoms ir pielīdzināms 4.2.1.5.pasākuma 2.kārtas atlasē aprēķinātajam finansējuma apjomam pašvaldībām, piemēram, finansējuma apjomam uz vienu skolēnu, ņemot vērā, ka atsevišķas Austrumu pierobežas pašvaldības nav iekļautas 3.kārtas atlasē balstoties uz nosacījumu, ka tās ir saņēmušas atbalstu 2.kārtas ietvaros. Lūdzam Izglītības un zinātnes ministriju nodrošināt vienotu pieeju atbalsta sadalē starp pašvaldībām, lai novērstu potenciālus audita riskus un nodrošinātu taisnīgu un caurspīdīgu finansējuma sadali starp pašvaldībām 4.2.1.5.pasākuma ietvaros starp tām atlases kārtām, kas nodrošina atbalstu skolu infrastruktūrai. Vienlaikus, lūdzam skaidrot, cik lielā mērā finansējuma sadalē ir ņemtas vērā reālās pašvaldību izglītības infrastruktūras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šobrīd valsts drošības prioritāšu kontekstā Latgalē/pierobežā īpaši aktuāls ir Rīcības plānā Latvijas Austrumu pierobežas ekonomiskajai izaugsmei un drošības stiprināšanai 2025.–2027. gadam (turpmāk - Rīcības plāns) noteiktais reģions. Šo aktualitāti akcentē š.g. 4.jūlijā notikusī diskusija ar Eiropas Komisiju un Pasaules Bankas pētījums, kas arī fokusēts uz Austrumu pierobežu (Pasaules Bankas un Eiropas Komisijas kopīgās Baltijas reģionu izlīdzināšanās iniciatīvas (Baltics Catching-Up Regions Initiative (CuRI) ietvaros). Lūdzam izvērst skaidrojumu un pamatojumu anotācijā attiecībā uz pašvaldību izvēli, skaidrojot Izglītības un zinātnes ministrijas izvēli balstīt investīciju sarakstu uz 2022. gada 24. maija Ministru kabineta noteikumu Nr. 310 “Noteikumi par Latvijas Republikas valsts robežas joslu, patrulēšanas joslu, pierobežas joslu un pierobežu, kā arī pierobežas, pierobežas joslas, valsts robežas joslas un patrulēšanas joslas norāžu paraugiem un to uzstādīšanas kārtību” 4. punktu, nevis Rīcības plānā noteikto Austrumu pierobežas tvērumu. Vēršam uzmanību, ka Eiropas Komisijas izteiktie komentāri par Eiropas Savienības kohēzijas politikas programmas 2021.-2027.gadam grozījumu Nr.3 priekšlikumu ir vērsti tieši uz atbalstu pašvaldībām Austrumu pierobežā, kas atbilst Rīcības plānā un Ekonomiskās sadarbības un attīstības organizācija (OECD)  2024./2025.gada ziņojumā “Reģionu pievilcības pārskatīšana Latgales reģionā” ietvertajam. Lūdzam pieeju pēc iespējas saskaņot ar Viedās administrācijas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informāciju par kārtu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anotācijā minētajām skaidrojam arī, ka neskatoties uz to, ka 2.kārtas un 3.kārtas ERAF finansējuma sadalei tiks izmantots viens un tas pats proporcionalitātes princips, izmaksas uz vienu izglītojamo nav salīdzināmas arī tāpēc, ka 2. kārtas ietvaros ir paredzēta otrā projektu iesniedzēju priekšatlase, kurā ir aicinātas piedalīties visas pašvaldības, kas nav iekļautas MK rīkojumā par pirmās projektu iesniedzēju priekšatlases rezultātiem (indikatīvi atbilstoši IZM aplēsei tiks saņemti 6-8 pašvaldību pieteikumi, proti, papildu piešķirtais finansējums tiks sadalīts vēlāk un pašlaik nevar prognozēt ERAF finansējumu vienam skolēnam. Līdz ar to arī finansējums uz vienu izglītojamo arī 2.kārtas dažādās priekšatlasēs nav salīdzināms. Atgādinām, ka papildu priekšatlase netika sākotnēji plānota, bet ir kā risinājums pašvaldību izteiktajām vajadzībām. Pašvaldības, kas pieteiksies otrajā projektu iesniedzējam priekšatlasē nesakārtoja vispārējās izglītības iestāžu sākotnēji noteiktajā termiņā vai savlaicīgi neizpildīja citas priekšatlases prasības, tomēr tām tiek radīta iespēja pretendēt uz atbalstu vēlāk, piemērojot tādus pašus nosacījumus (izņemot izglītības iestāžu tīkla sakārtošanas termiņu). Vēršam uzmanību, ka, atsaucoties uz LPS, RACA un LLPA atzinumiem par 2.kārtas MK noteikumu grozījumiem (25-TA-1537), pašvaldības neiebilst par grozījumu projektā iekļauto pieeju, no kuras izriet, ka izmaksas uz vienu izglītojamo dažādu projektu iesniedzēju priekšatlašu ietvaros atbalstītajām pašvaldībām visdrīzāk būs atšķirīgas.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par ministrijas izvēli balstīt investīciju sarakstu uz 2022. gada 24. maija Ministru kabineta noteikumu Nr. 310 “Noteikumi par Latvijas Republikas valsts robežas joslu, patrulēšanas joslu, pierobežas joslu un pierobežu, kā arī pierobežas, pierobežas joslas, valsts robežas joslas un patrulēšanas joslas norāžu paraugiem un to uzstādīšanas kārtību” 4. punktu, nevis Rīcības plānā noteikto Austrumu pierobežas tvērumu. Papildu skaidrojam, kopumā 10 pašvaldības (Alūksnes novada pašvaldība, Balvu novada pašvaldība, Ludzas novada pašvaldība, Rēzeknes valstspilsētas pašvaldība, Rēzeknes novada pašvaldība, Krāslavas novada pašvaldība, Daugavpils valstspilsētas pašvaldība, Augšdaugavas novada pašvaldība, Līvānu novada pašvaldība, Preiļu novada pašvaldība), kas ir iekļautas rīcības plāna „Rīcības plāns Latvijas Austrumu pierobežas ekonomiskajai izaugsmei un drošības stiprināšanai 2025.–2027. gadam” nav ierobežotas pretendēt uz ERAF finansējuma saņemšanu 4.2.1.5. pasākuma ietvaros, ja nodrošina atbilstību attiecīgās kārtas nosacījumiem, tādējādi veicot investīcijas vispārējās izglītības iestāžu infrastruktūrā. Proti, 3.kārtas ietvaros kā projekta iesniedzēji ir noteikti rīcības plānā iekļautas septiņas pašvaldības; 2.kārtas ERAF finansējums ir pieejams Daugavpils valstspilsētas pašvaldībai, kas nav iekļauta 3.kārtas projektu iesniedzēju lokā, jo investīcijas administratīvo centru izglītības iestādēs nav atbalstāmas; kā arī 2.kārtas papildu projektu iesniedzēju priekšatlasē (ieplānota ar grozījumiem MK noteikumos par 4.2.1.5.pasākuma 2.kārtu) var piedalīties Rēzeknes valstspilsētas pašvaldība un Līvānu novada pašvaldība un pretendēt uz atbalstu, ja izpildīs attiecīgos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3.punktā iekļauto RACA iebildumu, 3.kārtā var piedalīties arī pašvaldības, kas ir saņēmušas atbalstu 2. kārtas ietvaros un atbilst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sniegs viedokli par precizēto noteikumu projektu  starpinstitūciju saskaņošanas ietvaros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Projektu iesniedzējiem pieejamais Eiropas Reģionālās attīstības fonda finansējums ir šāds: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17.4.4. 10.–12. klašu grupā – 45 izglītojamie, izņemot Dagdas vidusskolu, Kārsavas vidusskolu un Kaunatas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nav noteiktas ārējos normatīvajos aktos  precīzi  pieejamības skolas, un kritēriji to noteikšanai,  lūdzam papildināt 17.4.4., izsakot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"17.4.4. 10.–12. klašu grupā – 45 izglītojamie, izņemot Dagdas vidusskolu, Kārsavas vidusskolu, Aglonas vidusskolu un Kaunatas vidusskolu, kas nodrošina vismaz 30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Aglonas vidusskola ir vienīgā vidusskola Preiļu novadā, tajā  mācās izglītojamie arī  no Krāslavas novada, Augšdaugavas novada un citām pašvaldībām . Attālums līdz citām vispārizglītojošām vidusskolām skolām  pārsniedz 25 km. Skola ir aprīkota ar modernu dienesta viesnīcu ( vismaz  45 vietas)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klašu grupā – 45 izglītojamie, izņemot Dagdas vidusskolu, Kārsavas vidusskolu, Aglonas vidusskolu un Kaunatas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tiek minēts, ka Aglonas vidusskola atrodas specifiskā ģeogrāfiskā situācijā, tās izdalīšana atsevišķā izņēmumu sarakstā nav metodoloģiski pamatota. Izglītības iestāžu ar augstu pieejamības risku identificēšanai tika lietota starptautiski validēta metodoloģija. Šī pieeja ļauj nodrošināt vienlīdzīgu attieksmi pret visām pašvaldību vidusskolām, izvairoties no gadījumiem, kad atsevišķas skolas tiek izceltas pēc politiska lēmuma, nevis objektīviem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 lai arī vēl nav iestrādāta normatīvajos aktos, ir starptautiski atzīta, lai kalpotu par pamatu lēmumu pieņemšanai, tādēļ nav nepieciešams papildināt normatīvos aktus ar atsevišķiem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*Aglonas vidusskola pēc saviem parametriem neatšķiras no citām skolām, kas atrodas līdzīgā ģeogrāfiskā situācijā, tāpēc tās izdalīšana radītu precedentu, kas mazina konsekvenci un skaidrību visā izglītības iestāžu tīkla sakārtošanas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tīkla reformas galvenais mērķis ir nodrošināt ilgtspējīgu un kvalitatīvu vidējās izglītības piedāvājumu visā valstī, un šī mērķa sasniegšanai būtiski ir ievērot vienotus, caurskatāmus kritērijus, nevis paplašināt izņēmumu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izmaksu piemērošanas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Eiropas Savienības fondu 2021.—2027. gada plānošanas perioda vadības likuma 19. panta 6. punktā ietvertajam deleģējumam, lūdzam papildināt noteikumu projekta 1.6. apakšpunktu pirms vārda "izmaksu" ar vārdu "vienkāršoto".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u w:val="single"/>
                <w:rtl w:val="0"/>
              </w:rPr>
              <w:t xml:space="preserve">vienkāršoto</w:t>
            </w:r>
            <w:r w:rsidR="00000000" w:rsidRPr="00000000" w:rsidDel="00000000">
              <w:rPr>
                <w:rtl w:val="0"/>
              </w:rPr>
              <w:t xml:space="preserve"> izmaksu piemērošanas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vienkāršoto izmaksu piemērošanas nosacījumus un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Sadarbības iestāde nosūta uzaicinājumu projektu iesniedzējam sagatavot un iesniegt projekta iesniegumu sadarbības iestādē, uzaicinājumā norādot Eiropas Reģionālās attīstības fonda finansējumu, kas nepārsniedz šo noteikumu 12. punktā noteikto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 punktu, ņemot vērā, ka tajā minētais izriet no Ministru kabineta 2023. gada 13. jūlija noteikumu Nr. 408 "Kārtība, kādā Eiropas Savienības fondu vadībā iesaistītās institūcijas nodrošina šo fondu ieviešanu 2021.–2027. gada plānošanas periodā" (turpmāk - noteikumi Nr. 408) 15.2. un 14.5.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lūdzam svītrot noteikumu projekta 16. punktā vārdus un skaitli "šo noteikumu 15. punktā minētajā uzaicinājumā noteiktajā termiņā", ņemot vērā noteikumu Nr. 408 14.7. apakšpunktā noteikto, ka projektu iesniegumu atlases nolikumā tiek norādīts projektu iesniegumu iesniegšanas Kohēzijas politikas fondu vadības informācijas sistēmā sākuma un beigu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uzskatāmi par attiecināmām izmaksām, vienlaikus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"i" punkta jau izriet, ka darbībām (t.i. projektiem), kuru kopējās izmaksas ir mazākas nekā 5 000 000 </w:t>
            </w:r>
            <w:r w:rsidR="00000000" w:rsidRPr="00000000" w:rsidDel="00000000">
              <w:rPr>
                <w:i w:val="1"/>
                <w:rtl w:val="0"/>
              </w:rPr>
              <w:t xml:space="preserve">euro</w:t>
            </w:r>
            <w:r w:rsidR="00000000" w:rsidRPr="00000000" w:rsidDel="00000000">
              <w:rPr>
                <w:rtl w:val="0"/>
              </w:rPr>
              <w:t xml:space="preserve"> (ieskaitot pievienotās vērtības nodokli), pievienotās vērtības nodokļa izmaksas ir attiecināmas, un no noteikumu projekta 12. punkta izriet, ka neviena projekta kopējās izmaksas nebūs 5 000 000 </w:t>
            </w:r>
            <w:r w:rsidR="00000000" w:rsidRPr="00000000" w:rsidDel="00000000">
              <w:rPr>
                <w:i w:val="1"/>
                <w:rtl w:val="0"/>
              </w:rPr>
              <w:t xml:space="preserve">euro</w:t>
            </w:r>
            <w:r w:rsidR="00000000" w:rsidRPr="00000000" w:rsidDel="00000000">
              <w:rPr>
                <w:rtl w:val="0"/>
              </w:rPr>
              <w:t xml:space="preserve"> un vairāk, lūdzam izteikt noteikumu projekta 23.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1.3. sadaļas apakšsadaļā "Risinājuma apraksts" ietverto informāciju par pievienotās vērtības nodokļa izmaksu attiecināmību, ņemot vērā, ka noteikumu projektā paredzēti tikai tādi projekti, kuru kopējās izmaksas ir mazākas nekā 5 000 000 </w:t>
            </w:r>
            <w:r w:rsidR="00000000" w:rsidRPr="00000000" w:rsidDel="00000000">
              <w:rPr>
                <w:i w:val="1"/>
                <w:rtl w:val="0"/>
              </w:rPr>
              <w:t xml:space="preserve">euro </w:t>
            </w:r>
            <w:r w:rsidR="00000000" w:rsidRPr="00000000" w:rsidDel="00000000">
              <w:rPr>
                <w:rtl w:val="0"/>
              </w:rPr>
              <w:t xml:space="preserve">(ieskaitot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uzskatāmi par attiecināmām izmaksām </w:t>
            </w:r>
            <w:r w:rsidR="00000000" w:rsidRPr="00000000" w:rsidDel="00000000">
              <w:rPr>
                <w:u w:val="single"/>
                <w:rtl w:val="0"/>
              </w:rPr>
              <w:t xml:space="preserve">saskaņā ar</w:t>
            </w:r>
            <w:r w:rsidR="00000000" w:rsidRPr="00000000" w:rsidDel="00000000">
              <w:rPr>
                <w:rtl w:val="0"/>
              </w:rPr>
              <w:t xml:space="preserve">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Pievienotās vērtības nodokļa maksājumi, kas tiešā veidā saistīti ar projektu, uzskatāmi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trešās projektu iesniegumu atlases kārtas ietvaros ieguldījumus veic finansējuma saņēmēja īpašumā vai valdījumā esošā īpašumā, uz kuru tiesības ir nostiprinātas zemesgrāmatā. Informācijas un komunikācijas tehnoloģiju ieguldījumi plāno finansējuma saņēmēja īpašumā esošajos digitālajos risinājumos. Pēc ieguldījumu veikšanas finansējuma saņēmēja īpašumā būs pirmkodi un intelektuālā īpašuma tiesības, tai skaitā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noteikts, ka </w:t>
            </w:r>
            <w:r w:rsidR="00000000" w:rsidRPr="00000000" w:rsidDel="00000000">
              <w:rPr>
                <w:i w:val="1"/>
                <w:rtl w:val="0"/>
              </w:rPr>
              <w:t xml:space="preserve">Ja ieguldījumu veic valdījumā esošajā īpašumā, tad valdījumā ir valsts īpašums, un valdījuma tiesības ir noteiktas vismaz uz termiņu, kas nav mazāks par pieciem gadiem pēc noslēguma maksājuma veikšanas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izvērtēt iespēju papildināt noteikumu projekta 29. punktu ar atbilstošu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trešās projektu iesniegumu atlases kārtas ietvaros ieguldījumus veic finansējuma saņēmēja īpašumā vai valdījumā esošā valsts īpašumā, uz kuru valdījuma tiesības ir nostiprinātas zemesgrāmatā, un valdījuma tiesības ir nostiprinātas uz termiņu, kas nav mazāks par pieciem gadiem pēc noslēguma maksājuma veikšanas. Informācijas un komunikācijas tehnoloģiju ieguldījumi plāno finansējuma saņēmēja īpašumā esošajos digitālajos risinājumos. Pēc ieguldījumu veikšanas finansējuma saņēmēja īpašumā būs pirmkodi un intelektuālā īpašuma tiesības, tai skaitā risinājuma modificēšanas tiesības, lai novērstu gadījumus, kad tiek kropļota konkurence, veicot publiskus ieguldījumus kāda konkrēta komersanta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34.10. projekta īstenošanas laikā un projekta dzīves cikla laikā nodrošina visu ar projekta īstenošanu saistīto dokumentu glabāšanu, tai skaitā projekta iesnieguma, jebkuru ar projektu saistīto sarakstes dokumentu, iepirkuma dokumentācijas, projekta līguma, veiktos darbus, piegādes un sniegtos pakalpojumus apliecinošu dokumentu glabāšanu, veiktos maksājumus apliecinošu dokumentu oriģinālu vai to atvasinājumu ar juridisko spēku 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aicinām izvērtēt nepieciešamību aizstāt noteikumu projekta 34.10. apakšpunktā vārdus "projekta līguma" ar vārdiem "vienošanās par projekta īstenošanu", ņemot vērā, ka saskaņā ar noteikumu projekta 37. punktu projektu īsteno saskaņā ar noslēgto </w:t>
            </w:r>
            <w:r w:rsidR="00000000" w:rsidRPr="00000000" w:rsidDel="00000000">
              <w:rPr>
                <w:u w:val="single"/>
                <w:rtl w:val="0"/>
              </w:rPr>
              <w:t xml:space="preserve">vienošanos par projekta īstenošanu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projekta īstenošanas laikā un projekta dzīves cikla laikā nodrošina visu ar projekta īstenošanu saistīto dokumentu glabāšanu, tai skaitā projekta iesnieguma, jebkuru ar projektu saistīto sarakstes dokumentu, iepirkuma dokumentācijas, vienošanās par projekta īstenošanu, veiktos darbus, piegādes un sniegtos pakalpojumus apliecinošu dokumentu glabāšanu, veiktos maksājumus apliecinošu dokumentu oriģinālu vai to atvasinājumu ar juridisko spēku glabāšanu;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anotācijā informāciju, vai Eiropas Reģionālās attīstības fonda (turpmāk – ERAF) atbalstu, kas ir aprēķināts proporcionāli attiecīgās pašvaldības dibināto vispārējās izglītības iestāžu izglītojamo skaitam 1.–12. klašu grupā saskaņā ar Valsts izglītības informācijas sistēmā pieejamiem datiem, var rēķināt pēc aktuālākajiem datiem, t.i. uz 2025. gada 1. 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vārdu "pašvaldību" pirms vārdiem un skaitļa "budžeta līdzfinansējums 797 160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anotāciju ar informāciju, par to, vai atbalstu var saņemt pašvaldība, kas ir saņēmusi atbalstu Atveseļošanas un noturības mehānisma 3.1.1.5.i investīcijas 'Izglītības iestāžu infrastruktūras pilnveide un aprīkošana” investīcijas ietvaros. Vienlaikus lūdzam tehniski precizēt anotācijā jau esošo atsauci uz 3.1.1.5.i investīcijas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projekts papildināts ar informācija par demarkāciju. Vienlaikus skaidrojam, ka Atveseļošanas fonda 3.1.1.5.i investīcijas “Izglītības iestāžu infrastruktūras pilnveide un aprīkošana” ietvaros pašvaldības, kas robežojas ar Eiropas Savienības ārējo Austrumu robežu nav piedalījušās projekta iesniedzēju priekšatlasē, līdz ar to nav Atveseļošanās fonda attiecīgās investīcijas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noteikumu projektā iekļautais atbalsta tvērums/joma risina kādu tematisko Eiropas Padomes rekomendāciju Latvijai, kas izteikta Eiropas Savienības fondu 2021.-2027.gada plānošanas perioda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informāciju par intervences kodiem, ņemot vēra, ka anotācijā iezīmētais finansējuma apjoms (ERAF 4 665 692 euro) atšķiras no noteikumu projekta 5.punktā noteiktā finansējuma apjoma (ERAF 4 517 240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iesūtīt Finanšu ministrijai precizētu Eiropas Savienības kohēzijas politikas programmas 2021.-2027.gadam papildinājumu ar finansējuma sadalījumu starp 4.2.1.5.pasākuma kārtām, ņemot vēra, ka šobrīd veidojas atlikums elastības finansējuma izlietojumā starp noteikumu projektā minēto finansējuma apjomu un starp noteikumu projektā “Grozījumi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 (25-TA-1537) minēto elastības apjomu, kuru plānots piešķirt 4.2.1.5.pasākuma 2.kārtai.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9.punktā noteikto, ka projektu iesniegumu atlasē piemēro tikai vienotos kritērijus un vienotos izvēles kritērijus, piemērojot Finanšu ministrijas kā Eiropas Savienības fondu vadošās iestādes metodikā Nr.3.1. "Eiropas Reģionālās attīstības fonda, Eiropas Sociālā fonda plus, Kohēzijas fonda un Taisnīgas pārkārtošanās fonda projektu iesniegumu atlases metodiku 2021.–2027.gadam" (turpmāk - 3.1.metodika) pieļauto izņēmuma gadījumu, vēršam uzmanību, ka 3.1.metodikā uzsvērts, ka attiecīgo izņēmumu plānots piemērot gadījumos, kad potenciālais finansējuma saņēmējs ir valsts pārvaldes iestāde vai privāto tiesību juridiska persona, kura veic deleģētā valsts pārvaldes uzdevuma izpildi, sniedz sabiedrisko pakalpojumu, piemērojot Eiropas Komisijas lēmumu Nr. 2012/21/ES, vai veic sabiedrībai vai tautsaimniecībai nozīmīga projekta īstenošanu. Tā kā šajā gadījumā finansējuma saņēmējs nav nedz valsts pārvaldes iestāde, nedz privāto tiesību juridiska persona, tad lūdzam papildināt anotāciju ar skaidrojumu par atbilstību 3.1.metodikas izņēmumam, skaidrojot, vai pašvaldība šī atbalsta pasākuma ietvaros veic sabiedrībai vai tautsaimniecībai nozīmīga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informāciju, ka "projektu iesniedzēji nekonkurē savā starpā par finansējumu", ņemot vērā, ka šī ir ierobežota projektu iesniegumu atlase, kur atbildīgā iestāde ir izvēlējusies konkrētos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papildināta anotāciju ar informāciju par to, vai ir plānots kāds atbalsts pašvaldībām, kuras nav laikus sakārtojušas skolu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skaidrojam, ka 3.kārtas nosacījumi neparedz, ka pašvaldībai jāsakārto vispārējās izglītības iestāžu tīkls. Nosacījumi paredz, ka atbalstam var izvirzīt izglītības iestādi, kas atbilst šajos noteikumos minētajiem nosacījumiem, kas paredz nodrošināt izglītojamo skaita minimālo skaitu, ievērojot skolu tīkla sakārtošanas nosacījumiem, vai piemērojot noteikumu projektā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anotācijas 2.1. sadaļas apakšsadaļā "Juridiskās personas" ietverto pašvaldību uzskaitījumu, ņemot vērā, ka noteikumu projekta 11. punktā uzskaitītas konkrētas pašvaldības kā projektu iesniedzēji (finansējuma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skaitliskās neprecizitātes anotācijas 3.sadaļā. Saskaitot kopējo indikatīvi plānoto finansējumu atšķirība ar noteikumu projektā norādīto finansējumu ir viens eiro. Attiecīgi lūgums precizēt arī pašvaldību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5.4. sadaļas 1. tabulā norādi uz Eiropas Parlamenta un Padomes 2024. gada 23. septembra Regulu (ES, Euratom) 2024/2509 par finanšu noteikumiem, ko piemēro Savienības vispārējam budžetam (pārstrādāta redakcija), ņemot vērā, ka noteikumu projektā nav paredzēta minētās regulas 61. panta pārņemšana vai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panta prasības ir tieši piemērojamas tādiem projektiem, kas saistīti ar Eiropas Savienības fondu atbalsta saņemšanu un vienlaikus kuros atbilstoši specifiskā atbalsta mērķim finansējuma saņēmējs atlases kārtībā Eiropas Savienības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6.sadaļu, vai ir tikusi organizēta nozares/jomas pārstāvošu biedrību, nodibinājumu, nevalstisko organizāciju iesaisti noteikumu projekta izstrādē atbilstoši Ministru Prezidenta 2021.gada 7. septembra rezolūcijā Nr. 2021-1.1.1./50-50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projektu ar punktu, kas atļauj ātrāku (pirms Eiropas Komisijas lēmuma) elastības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2025. gada 27. maija sēdes protokola Nr. 21 42. § 12.punkts paredz, ka elastības finansējums kļūst pieejams pēc Eiropas Komisijas lēmuma par programmas grozījumiem. Izņēmuma gadījumā, to objektīvi pamatojot, ministrija, virzot attiecīgo Ministra kabineta noteikumu projektu par specifiskā atbalsta mērķa vai tā pasākuma īstenošanu vai to grozījumus, Ministru kabineta sēdes protokollēmuma projektā var rosināt ātrāku elastības finansējuma izmantošanu, izvērstu pamatojumu sniedzot sākotnējās ietekmes (ex-ante) novērtējuma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papildināt pamatojumu elastības finansējuma ātrākai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finanšu apguves n+3 principa sasniegšanu veicinās anotācijā minētais – tiek iesniegti vidējās gatavības projekti, izmaksu attiecināmības termiņš, avansa pieprasīšanas iespēja, kā arī pieņēmums, ka vienošanās par projektu īstenošanu slēgšana tiks uzsākta 2026.gada 2.ceturkšņa sākumā.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25-TA-1639</w:t>
    </w:r>
    <w:r>
      <w:br/>
    </w:r>
    <w:r w:rsidR="00000000" w:rsidRPr="00000000" w:rsidDel="00000000">
      <w:rPr>
        <w:rtl w:val="0"/>
      </w:rPr>
      <w:t xml:space="preserve">30.11.2025. 18.07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25-TA-1639</w:t>
    </w:r>
    <w:r>
      <w:br/>
    </w:r>
    <w:r w:rsidR="00000000" w:rsidRPr="00000000" w:rsidDel="00000000">
      <w:rPr>
        <w:rtl w:val="0"/>
      </w:rPr>
      <w:t xml:space="preserve">30.11.2025. 18.07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Izziņa_25-TA-1639.docx</dc:title>
</cp:coreProperties>
</file>

<file path=docProps/custom.xml><?xml version="1.0" encoding="utf-8"?>
<Properties xmlns="http://schemas.openxmlformats.org/officeDocument/2006/custom-properties" xmlns:vt="http://schemas.openxmlformats.org/officeDocument/2006/docPropsVTypes"/>
</file>