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janvāra noteikumos Nr. 4 "Norvēģijas finanšu instrumenta 2014.–2021. gada perioda programmas "Uzņēmējdarbības attīstība, inovācijas un mazie un vidējie uzņēmumi"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nākamajā dienā pēc tam, kad programmas apsaimniekotājs publicē oficiālajā izdevumā "Latvijas Vēstnesis" paziņojumu par programmas finansējuma pārdali uz programmas divpusējās sadarbības fondu saskaņošanu ar Finanšu instrumenta biroju.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 punktu. Ierosinām attiecīgo regulējumu formulēt līdzīgi kā tas jau ir darīts citos Ministru kabineta noteikumos, piem., 2023. gada 5. septembra noteikumos Nr. 508 "Grozījumi Ministru kabineta 2020. gada 11. februāra noteikumos Nr. 91 "Eiropas Ekonomikas zonas finanšu instrumenta 2014.-2021. gada perioda programmas "Starptautiskā policijas sadarbība un noziedzības apkarošana" īstenošanas noteikumi"" un Ministru kabineta 2021. gada 7. decembra noteikumos Nr. 800 "Grozījumi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grozījumu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samazināt attiecīgās programmas kopējo finansējumu par 345 294</w:t>
            </w:r>
            <w:r w:rsidR="00000000" w:rsidRPr="00000000" w:rsidDel="00000000">
              <w:rPr>
                <w:i w:val="1"/>
                <w:rtl w:val="0"/>
              </w:rPr>
              <w:t xml:space="preserve"> euro</w:t>
            </w:r>
            <w:r w:rsidR="00000000" w:rsidRPr="00000000" w:rsidDel="00000000">
              <w:rPr>
                <w:rtl w:val="0"/>
              </w:rPr>
              <w:t xml:space="preserve">. Noteikumu projekta anotācijā tostarp minēts, ka vairs nav iespējams programmā papildus apstiprināt jaunus projektus nepietiekama projektu īstenošanas laika dēļ, jo projektu maksimālais izdevumu attiecināmības termiņš ir 2024. gada 30. aprīlis. Saistībā ar minēto lūdzam noteikumu projekta anotācijā skaidrot, vai ar noteikumu projektu nevar tikt skartas personu tiesības (tiesiskā paļāvība), kuras jau ir pieteikušās atbalstam šo noteikumu ietvaros (tostarp vai projektu iesniegumu atlases ir noslēgušās). 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1.sadaļas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programmas "Uzņēmējdarbības attīstība, inovācijas un mazie un vidējie uzņēmumi" kopējo finansējumu veido Norvēģijas finanšu instrumenta līdzfinansējums un valsts budžeta līdzfinansējums, attiecīgi lūdzam precizēt anotācijas 3.sadaļā atspoguļoto ietekmi uz valsts budžetu, ievērojot, ka sadaļas 1.punktā un 1.1.apakšpunktā jānorāda Norvēģijas finanšu instrumenta līdzfinansējuma daļa, kas ir 85%, 2.punktā un 2.1.apakšpunktā kopējais finansējuma apmērs, savukārt 3., 5.punktā un 3.1., 5.1.apakšpunktā - valsts budžeta līdzfinansējuma daļa, kas ir 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 sadaļu, norādot saistības, kas izriet no attiecīgā programmas līguma un Latvijas Republikas un Norvēģijas Karalistes saprašanās memoranda par Norvēģijas finanšu instrumenta ieviešanu 2014.–2021. gadā B pielikuma un kuras ar noteikumu projektu paredzēts izpildīt, šo saistību būtību un konkrētus veicamos pasākumus vai uzdevumus, kas nepieciešami šo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5.daļas 5.5.apakšpunkts.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līdzfinansējuma saņēmējam vai gala labuma guvējam ir pienākums atmaksāt programmas apsaimniekotājam vai iepriekš noteiktā projekta īstenotājam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aktuālajai Eiropas Savienības tiesu judikatūrai atbilstošu pienākumu atgūt tikai nelikumīgo komercdarbības atbalstu, aicinām šo noteikumu 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1407/2013 nosacījumi, līdzfinansējuma saņēmējam vai gala labuma guvējam ir pienākums atmaksāt programmas apsaimniekotājam vai iepriekš noteiktā projekta īstenotājam visu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tiek pārkāpti Komisijas regulas Nr. </w:t>
            </w:r>
            <w:r w:rsidR="00000000" w:rsidRPr="00000000" w:rsidDel="00000000">
              <w:rPr>
                <w:rtl w:val="0"/>
              </w:rPr>
              <w:t xml:space="preserve">1407/2013</w:t>
            </w:r>
            <w:r w:rsidR="00000000" w:rsidRPr="00000000" w:rsidDel="00000000">
              <w:rPr>
                <w:rtl w:val="0"/>
              </w:rPr>
              <w:t xml:space="preserve"> nosacījumi, līdzfinansējuma saņēmējam vai gala labuma guvējam ir pienākums atmaksāt programmas apsaimniekotājam vai iepriekš noteiktā projekta īstenotājam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23-TA-2482</w:t>
    </w:r>
    <w:r>
      <w:br/>
    </w:r>
    <w:r w:rsidR="00000000" w:rsidRPr="00000000" w:rsidDel="00000000">
      <w:rPr>
        <w:rtl w:val="0"/>
      </w:rPr>
      <w:t xml:space="preserve">19.12.2023. 12.48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23-TA-2482</w:t>
    </w:r>
    <w:r>
      <w:br/>
    </w:r>
    <w:r w:rsidR="00000000" w:rsidRPr="00000000" w:rsidDel="00000000">
      <w:rPr>
        <w:rtl w:val="0"/>
      </w:rPr>
      <w:t xml:space="preserve">19.12.2023. 12.48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Izziņa_23-TA-2482.docx</dc:title>
</cp:coreProperties>
</file>

<file path=docProps/custom.xml><?xml version="1.0" encoding="utf-8"?>
<Properties xmlns="http://schemas.openxmlformats.org/officeDocument/2006/custom-properties" xmlns:vt="http://schemas.openxmlformats.org/officeDocument/2006/docPropsVTypes"/>
</file>