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89F0" w14:textId="77777777" w:rsidR="00D859C2" w:rsidRDefault="00856692" w:rsidP="00F338FB">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0CD489F1" w14:textId="77777777" w:rsidR="006116AD" w:rsidRDefault="006116AD" w:rsidP="00BD7BCB">
      <w:pPr>
        <w:spacing w:after="0" w:line="240" w:lineRule="auto"/>
        <w:rPr>
          <w:rFonts w:ascii="Times New Roman" w:hAnsi="Times New Roman"/>
          <w:sz w:val="28"/>
          <w:szCs w:val="28"/>
          <w:lang w:val="lv-LV"/>
        </w:rPr>
      </w:pPr>
    </w:p>
    <w:p w14:paraId="0CD489F2" w14:textId="361A9561" w:rsidR="00517616" w:rsidRPr="00784FFA" w:rsidRDefault="00856692" w:rsidP="00F338FB">
      <w:pPr>
        <w:spacing w:after="0" w:line="240" w:lineRule="auto"/>
        <w:rPr>
          <w:rFonts w:ascii="Times New Roman" w:hAnsi="Times New Roman"/>
          <w:sz w:val="28"/>
          <w:szCs w:val="28"/>
          <w:lang w:val="lv-LV"/>
        </w:rPr>
      </w:pPr>
      <w:r w:rsidRPr="00784FFA">
        <w:rPr>
          <w:rFonts w:ascii="Times New Roman" w:hAnsi="Times New Roman"/>
          <w:sz w:val="28"/>
          <w:szCs w:val="28"/>
          <w:lang w:val="lv-LV"/>
        </w:rPr>
        <w:t>Datums skatāms laika zīmogā Nr. </w:t>
      </w:r>
      <w:r w:rsidR="00F77716">
        <w:rPr>
          <w:rFonts w:ascii="Times New Roman" w:hAnsi="Times New Roman"/>
          <w:sz w:val="28"/>
          <w:szCs w:val="28"/>
          <w:lang w:val="lv-LV"/>
        </w:rPr>
        <w:t>_________</w:t>
      </w:r>
    </w:p>
    <w:p w14:paraId="0CD489F3" w14:textId="77777777" w:rsidR="00F338FB" w:rsidRDefault="00F338FB" w:rsidP="00F338FB">
      <w:pPr>
        <w:spacing w:after="0" w:line="240" w:lineRule="auto"/>
        <w:jc w:val="right"/>
        <w:rPr>
          <w:rFonts w:ascii="Times New Roman" w:hAnsi="Times New Roman"/>
          <w:sz w:val="28"/>
          <w:szCs w:val="28"/>
          <w:lang w:val="lv-LV"/>
        </w:rPr>
      </w:pPr>
    </w:p>
    <w:p w14:paraId="0CD489F4" w14:textId="77777777" w:rsidR="00794D42" w:rsidRPr="00784FFA" w:rsidRDefault="00856692" w:rsidP="00BE5D59">
      <w:pPr>
        <w:spacing w:after="0" w:line="240" w:lineRule="auto"/>
        <w:jc w:val="right"/>
        <w:rPr>
          <w:rFonts w:ascii="Times New Roman" w:hAnsi="Times New Roman"/>
          <w:sz w:val="28"/>
          <w:szCs w:val="28"/>
          <w:lang w:val="lv-LV"/>
        </w:rPr>
      </w:pPr>
      <w:r w:rsidRPr="00BE5D59">
        <w:rPr>
          <w:rFonts w:ascii="Times New Roman" w:hAnsi="Times New Roman"/>
          <w:sz w:val="28"/>
          <w:szCs w:val="28"/>
          <w:lang w:val="lv-LV"/>
        </w:rPr>
        <w:t>Valsts kancelejai</w:t>
      </w:r>
    </w:p>
    <w:p w14:paraId="0CD489F5" w14:textId="77777777" w:rsidR="00F338FB" w:rsidRDefault="00F338FB" w:rsidP="00F338FB">
      <w:pPr>
        <w:spacing w:after="0" w:line="240" w:lineRule="auto"/>
        <w:rPr>
          <w:rFonts w:ascii="Times New Roman" w:hAnsi="Times New Roman"/>
          <w:sz w:val="28"/>
          <w:szCs w:val="28"/>
          <w:lang w:val="lv-LV"/>
        </w:rPr>
      </w:pPr>
    </w:p>
    <w:p w14:paraId="0CD489F6" w14:textId="4C633DAF" w:rsidR="007B4E00" w:rsidRDefault="00856692" w:rsidP="007B4E00">
      <w:pPr>
        <w:spacing w:after="0" w:line="240" w:lineRule="auto"/>
        <w:rPr>
          <w:rFonts w:ascii="Times New Roman" w:hAnsi="Times New Roman"/>
          <w:sz w:val="28"/>
          <w:szCs w:val="28"/>
          <w:lang w:val="lv-LV"/>
        </w:rPr>
      </w:pPr>
      <w:bookmarkStart w:id="0" w:name="_Hlk16497937"/>
      <w:r w:rsidRPr="00E63A11">
        <w:rPr>
          <w:rFonts w:ascii="Times New Roman" w:hAnsi="Times New Roman"/>
          <w:noProof/>
          <w:sz w:val="28"/>
          <w:szCs w:val="28"/>
          <w:lang w:val="lv-LV"/>
        </w:rPr>
        <w:t xml:space="preserve">Par </w:t>
      </w:r>
      <w:r w:rsidR="0069237D">
        <w:rPr>
          <w:rFonts w:ascii="Times New Roman" w:hAnsi="Times New Roman"/>
          <w:noProof/>
          <w:sz w:val="28"/>
          <w:szCs w:val="28"/>
          <w:lang w:val="lv-LV"/>
        </w:rPr>
        <w:t xml:space="preserve">informatīvā ziņojuma </w:t>
      </w:r>
      <w:r w:rsidRPr="00E63A11">
        <w:rPr>
          <w:rFonts w:ascii="Times New Roman" w:hAnsi="Times New Roman"/>
          <w:noProof/>
          <w:sz w:val="28"/>
          <w:szCs w:val="28"/>
          <w:lang w:val="lv-LV"/>
        </w:rPr>
        <w:t>projektu</w:t>
      </w:r>
    </w:p>
    <w:bookmarkEnd w:id="0"/>
    <w:p w14:paraId="0CD489F7" w14:textId="77777777" w:rsidR="00F338FB" w:rsidRDefault="00F338FB" w:rsidP="007B4E00">
      <w:pPr>
        <w:spacing w:after="0" w:line="240" w:lineRule="auto"/>
        <w:rPr>
          <w:rFonts w:ascii="Times New Roman" w:hAnsi="Times New Roman"/>
          <w:sz w:val="28"/>
          <w:szCs w:val="28"/>
          <w:lang w:val="lv-LV"/>
        </w:rPr>
      </w:pPr>
    </w:p>
    <w:p w14:paraId="0CD489F8" w14:textId="0A1E2B93" w:rsidR="00F338FB" w:rsidRDefault="00856692" w:rsidP="00150449">
      <w:pPr>
        <w:spacing w:after="0" w:line="240" w:lineRule="auto"/>
        <w:ind w:firstLine="851"/>
        <w:jc w:val="both"/>
        <w:rPr>
          <w:rFonts w:ascii="Times New Roman" w:hAnsi="Times New Roman"/>
          <w:sz w:val="28"/>
          <w:szCs w:val="28"/>
          <w:lang w:val="lv-LV"/>
        </w:rPr>
      </w:pPr>
      <w:r w:rsidRPr="009D3CD7">
        <w:rPr>
          <w:rFonts w:ascii="Times New Roman" w:hAnsi="Times New Roman"/>
          <w:sz w:val="28"/>
          <w:szCs w:val="28"/>
          <w:lang w:val="lv-LV"/>
        </w:rPr>
        <w:t xml:space="preserve">Pamatojoties uz Ministru kabineta </w:t>
      </w:r>
      <w:r w:rsidR="00D8313C" w:rsidRPr="00D8313C">
        <w:rPr>
          <w:rFonts w:ascii="Times New Roman" w:hAnsi="Times New Roman"/>
          <w:sz w:val="28"/>
          <w:szCs w:val="28"/>
          <w:lang w:val="lv-LV"/>
        </w:rPr>
        <w:t>2021. gada 7. septembr</w:t>
      </w:r>
      <w:r w:rsidRPr="009D3CD7">
        <w:rPr>
          <w:rFonts w:ascii="Times New Roman" w:hAnsi="Times New Roman"/>
          <w:sz w:val="28"/>
          <w:szCs w:val="28"/>
          <w:lang w:val="lv-LV"/>
        </w:rPr>
        <w:t xml:space="preserve">a noteikumu Nr. </w:t>
      </w:r>
      <w:r w:rsidR="00D8313C">
        <w:rPr>
          <w:rFonts w:ascii="Times New Roman" w:hAnsi="Times New Roman"/>
          <w:sz w:val="28"/>
          <w:szCs w:val="28"/>
          <w:lang w:val="lv-LV"/>
        </w:rPr>
        <w:t>606</w:t>
      </w:r>
      <w:r w:rsidRPr="009D3CD7">
        <w:rPr>
          <w:rFonts w:ascii="Times New Roman" w:hAnsi="Times New Roman"/>
          <w:sz w:val="28"/>
          <w:szCs w:val="28"/>
          <w:lang w:val="lv-LV"/>
        </w:rPr>
        <w:t xml:space="preserve"> "Ministru kabineta kārtības rullis" </w:t>
      </w:r>
      <w:r w:rsidR="00D8313C" w:rsidRPr="00D8313C">
        <w:rPr>
          <w:rFonts w:ascii="Times New Roman" w:hAnsi="Times New Roman"/>
          <w:sz w:val="28"/>
          <w:szCs w:val="28"/>
          <w:lang w:val="lv-LV"/>
        </w:rPr>
        <w:t>113.11</w:t>
      </w:r>
      <w:r w:rsidR="0069237D">
        <w:rPr>
          <w:rFonts w:ascii="Times New Roman" w:hAnsi="Times New Roman"/>
          <w:sz w:val="28"/>
          <w:szCs w:val="28"/>
          <w:lang w:val="lv-LV"/>
        </w:rPr>
        <w:t xml:space="preserve">. </w:t>
      </w:r>
      <w:r w:rsidR="00D8313C">
        <w:rPr>
          <w:rFonts w:ascii="Times New Roman" w:hAnsi="Times New Roman"/>
          <w:sz w:val="28"/>
          <w:szCs w:val="28"/>
          <w:lang w:val="lv-LV"/>
        </w:rPr>
        <w:t>apakš</w:t>
      </w:r>
      <w:r w:rsidRPr="009D3CD7">
        <w:rPr>
          <w:rFonts w:ascii="Times New Roman" w:hAnsi="Times New Roman"/>
          <w:sz w:val="28"/>
          <w:szCs w:val="28"/>
          <w:lang w:val="lv-LV"/>
        </w:rPr>
        <w:t xml:space="preserve">punktu, iesniedzu izskatīšanai Ministru kabineta sēdē </w:t>
      </w:r>
      <w:r w:rsidR="0069237D">
        <w:rPr>
          <w:rFonts w:ascii="Times New Roman" w:hAnsi="Times New Roman"/>
          <w:sz w:val="28"/>
          <w:szCs w:val="28"/>
          <w:lang w:val="lv-LV"/>
        </w:rPr>
        <w:t xml:space="preserve">informatīvā ziņojuma </w:t>
      </w:r>
      <w:r w:rsidR="0069237D" w:rsidRPr="0069237D">
        <w:rPr>
          <w:rFonts w:ascii="Times New Roman" w:hAnsi="Times New Roman"/>
          <w:sz w:val="28"/>
          <w:szCs w:val="28"/>
          <w:lang w:val="lv-LV"/>
        </w:rPr>
        <w:t>“Par elektroniskās darba laika uzskaites regulējuma efektivitāti un nepieciešamajiem pilnveidojumiem”</w:t>
      </w:r>
      <w:r w:rsidRPr="009D3CD7">
        <w:rPr>
          <w:rFonts w:ascii="Times New Roman" w:hAnsi="Times New Roman"/>
          <w:sz w:val="28"/>
          <w:szCs w:val="28"/>
          <w:lang w:val="lv-LV"/>
        </w:rPr>
        <w:t xml:space="preserve"> projektu (turpmāk – projekts).</w:t>
      </w:r>
    </w:p>
    <w:p w14:paraId="0CD489F9" w14:textId="77777777" w:rsidR="00DA442A" w:rsidRDefault="00DA442A" w:rsidP="007B4E00">
      <w:pPr>
        <w:spacing w:after="0" w:line="240" w:lineRule="auto"/>
        <w:jc w:val="both"/>
        <w:rPr>
          <w:rFonts w:ascii="Times New Roman" w:hAnsi="Times New Roman"/>
          <w:sz w:val="28"/>
          <w:szCs w:val="28"/>
          <w:lang w:val="lv-LV"/>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499"/>
      </w:tblGrid>
      <w:tr w:rsidR="00920DAC" w14:paraId="0CD489FD" w14:textId="77777777" w:rsidTr="007B4E00">
        <w:tc>
          <w:tcPr>
            <w:tcW w:w="534" w:type="dxa"/>
          </w:tcPr>
          <w:p w14:paraId="0CD489FA" w14:textId="77777777" w:rsidR="007B4E00" w:rsidRPr="003C41F6" w:rsidRDefault="00856692" w:rsidP="007B4E00">
            <w:pPr>
              <w:spacing w:after="0" w:line="240" w:lineRule="auto"/>
              <w:rPr>
                <w:rFonts w:ascii="Times New Roman" w:hAnsi="Times New Roman"/>
                <w:color w:val="000000"/>
                <w:sz w:val="24"/>
                <w:szCs w:val="24"/>
                <w:lang w:val="lv-LV"/>
              </w:rPr>
            </w:pPr>
            <w:r>
              <w:rPr>
                <w:rFonts w:ascii="Times New Roman" w:hAnsi="Times New Roman"/>
                <w:color w:val="000000"/>
                <w:sz w:val="24"/>
                <w:szCs w:val="24"/>
                <w:lang w:val="lv-LV"/>
              </w:rPr>
              <w:t>1.</w:t>
            </w:r>
          </w:p>
        </w:tc>
        <w:tc>
          <w:tcPr>
            <w:tcW w:w="2551" w:type="dxa"/>
          </w:tcPr>
          <w:p w14:paraId="0CD489FB" w14:textId="77777777" w:rsidR="007B4E00" w:rsidRPr="003C41F6" w:rsidRDefault="00856692" w:rsidP="007B4E00">
            <w:pPr>
              <w:spacing w:after="0" w:line="240" w:lineRule="auto"/>
              <w:rPr>
                <w:rFonts w:ascii="Times New Roman" w:hAnsi="Times New Roman"/>
                <w:color w:val="000000"/>
                <w:sz w:val="24"/>
                <w:szCs w:val="24"/>
                <w:lang w:val="lv-LV"/>
              </w:rPr>
            </w:pPr>
            <w:r w:rsidRPr="003C41F6">
              <w:rPr>
                <w:rFonts w:ascii="Times New Roman" w:hAnsi="Times New Roman"/>
                <w:color w:val="000000"/>
                <w:sz w:val="24"/>
                <w:szCs w:val="24"/>
                <w:lang w:val="lv-LV"/>
              </w:rPr>
              <w:t>Iesniegšanas pamatojums</w:t>
            </w:r>
          </w:p>
        </w:tc>
        <w:tc>
          <w:tcPr>
            <w:tcW w:w="6499" w:type="dxa"/>
          </w:tcPr>
          <w:p w14:paraId="0CD489FC" w14:textId="3B0B06BB" w:rsidR="007B4E00" w:rsidRPr="003C41F6" w:rsidRDefault="005F1CEC" w:rsidP="007B4E00">
            <w:pPr>
              <w:spacing w:after="0" w:line="240" w:lineRule="auto"/>
              <w:ind w:right="57"/>
              <w:jc w:val="both"/>
              <w:rPr>
                <w:rFonts w:ascii="Times New Roman" w:hAnsi="Times New Roman"/>
                <w:sz w:val="28"/>
                <w:szCs w:val="28"/>
                <w:lang w:val="lv-LV"/>
              </w:rPr>
            </w:pPr>
            <w:r>
              <w:rPr>
                <w:rFonts w:ascii="Times New Roman" w:hAnsi="Times New Roman"/>
                <w:sz w:val="28"/>
                <w:szCs w:val="28"/>
                <w:lang w:val="lv-LV"/>
              </w:rPr>
              <w:t>Ministru kabineta 2020.gada 11.augusta sēdes protokol</w:t>
            </w:r>
            <w:r w:rsidR="00354AF6">
              <w:rPr>
                <w:rFonts w:ascii="Times New Roman" w:hAnsi="Times New Roman"/>
                <w:sz w:val="28"/>
                <w:szCs w:val="28"/>
                <w:lang w:val="lv-LV"/>
              </w:rPr>
              <w:t>s Nr. 47</w:t>
            </w:r>
            <w:r w:rsidR="00D8313C">
              <w:rPr>
                <w:rFonts w:ascii="Times New Roman" w:hAnsi="Times New Roman"/>
                <w:sz w:val="28"/>
                <w:szCs w:val="28"/>
                <w:lang w:val="lv-LV"/>
              </w:rPr>
              <w:t>.</w:t>
            </w:r>
            <w:r w:rsidR="00354AF6">
              <w:rPr>
                <w:rFonts w:ascii="Times New Roman" w:hAnsi="Times New Roman"/>
                <w:sz w:val="28"/>
                <w:szCs w:val="28"/>
                <w:lang w:val="lv-LV"/>
              </w:rPr>
              <w:t xml:space="preserve"> 83</w:t>
            </w:r>
            <w:r w:rsidR="00D8313C">
              <w:rPr>
                <w:rFonts w:ascii="Times New Roman" w:hAnsi="Times New Roman"/>
                <w:sz w:val="28"/>
                <w:szCs w:val="28"/>
                <w:lang w:val="lv-LV"/>
              </w:rPr>
              <w:t xml:space="preserve">. </w:t>
            </w:r>
            <w:r w:rsidR="00D8313C">
              <w:rPr>
                <w:rFonts w:ascii="Times New Roman" w:hAnsi="Times New Roman"/>
                <w:sz w:val="28"/>
                <w:szCs w:val="28"/>
                <w:lang w:val="lv-LV"/>
              </w:rPr>
              <w:t>§</w:t>
            </w:r>
            <w:r w:rsidR="00D8313C">
              <w:rPr>
                <w:rFonts w:ascii="Times New Roman" w:hAnsi="Times New Roman"/>
                <w:sz w:val="28"/>
                <w:szCs w:val="28"/>
                <w:lang w:val="lv-LV"/>
              </w:rPr>
              <w:t xml:space="preserve"> </w:t>
            </w:r>
            <w:r w:rsidR="00354AF6">
              <w:rPr>
                <w:rFonts w:ascii="Times New Roman" w:hAnsi="Times New Roman"/>
                <w:sz w:val="28"/>
                <w:szCs w:val="28"/>
                <w:lang w:val="lv-LV"/>
              </w:rPr>
              <w:t>, 3.punkts</w:t>
            </w:r>
          </w:p>
        </w:tc>
      </w:tr>
      <w:tr w:rsidR="00920DAC" w14:paraId="0CD48A01" w14:textId="77777777" w:rsidTr="007B4E00">
        <w:tc>
          <w:tcPr>
            <w:tcW w:w="534" w:type="dxa"/>
          </w:tcPr>
          <w:p w14:paraId="0CD489FE"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2.</w:t>
            </w:r>
          </w:p>
        </w:tc>
        <w:tc>
          <w:tcPr>
            <w:tcW w:w="2551" w:type="dxa"/>
          </w:tcPr>
          <w:p w14:paraId="0CD489FF" w14:textId="77777777" w:rsidR="007B4E00" w:rsidRPr="003C41F6" w:rsidRDefault="00856692" w:rsidP="007B4E00">
            <w:pPr>
              <w:spacing w:after="0" w:line="240" w:lineRule="auto"/>
              <w:rPr>
                <w:rFonts w:ascii="Times New Roman" w:hAnsi="Times New Roman"/>
                <w:sz w:val="24"/>
                <w:szCs w:val="24"/>
                <w:lang w:val="lv-LV"/>
              </w:rPr>
            </w:pPr>
            <w:r w:rsidRPr="003C41F6">
              <w:rPr>
                <w:rFonts w:ascii="Times New Roman" w:eastAsia="Times New Roman" w:hAnsi="Times New Roman"/>
                <w:sz w:val="24"/>
                <w:szCs w:val="24"/>
                <w:lang w:val="lv-LV" w:eastAsia="lv-LV"/>
              </w:rPr>
              <w:t>Valsts sekretāru sanāksmes datums un numurs</w:t>
            </w:r>
          </w:p>
        </w:tc>
        <w:tc>
          <w:tcPr>
            <w:tcW w:w="6499" w:type="dxa"/>
          </w:tcPr>
          <w:p w14:paraId="0CD48A00" w14:textId="0F609A5A" w:rsidR="007B4E00" w:rsidRPr="003C41F6" w:rsidRDefault="00354AF6" w:rsidP="007B4E00">
            <w:pPr>
              <w:spacing w:after="0" w:line="240" w:lineRule="auto"/>
              <w:jc w:val="both"/>
              <w:rPr>
                <w:rFonts w:ascii="Times New Roman" w:hAnsi="Times New Roman"/>
                <w:sz w:val="28"/>
                <w:szCs w:val="28"/>
                <w:lang w:val="lv-LV"/>
              </w:rPr>
            </w:pPr>
            <w:r>
              <w:rPr>
                <w:rFonts w:ascii="Times New Roman" w:hAnsi="Times New Roman"/>
                <w:sz w:val="28"/>
                <w:szCs w:val="28"/>
                <w:lang w:val="lv-LV"/>
              </w:rPr>
              <w:t>Netika izsludināts</w:t>
            </w:r>
          </w:p>
        </w:tc>
      </w:tr>
      <w:tr w:rsidR="00920DAC" w14:paraId="0CD48A05" w14:textId="77777777" w:rsidTr="007B4E00">
        <w:tc>
          <w:tcPr>
            <w:tcW w:w="534" w:type="dxa"/>
          </w:tcPr>
          <w:p w14:paraId="0CD48A02"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3.</w:t>
            </w:r>
          </w:p>
        </w:tc>
        <w:tc>
          <w:tcPr>
            <w:tcW w:w="2551" w:type="dxa"/>
          </w:tcPr>
          <w:p w14:paraId="0CD48A03" w14:textId="77777777" w:rsidR="007B4E00" w:rsidRPr="003C41F6" w:rsidRDefault="00856692" w:rsidP="007B4E00">
            <w:pPr>
              <w:spacing w:after="0" w:line="240" w:lineRule="auto"/>
              <w:rPr>
                <w:rFonts w:ascii="Times New Roman" w:hAnsi="Times New Roman"/>
                <w:sz w:val="24"/>
                <w:szCs w:val="24"/>
                <w:lang w:val="lv-LV"/>
              </w:rPr>
            </w:pPr>
            <w:r w:rsidRPr="003C41F6">
              <w:rPr>
                <w:rFonts w:ascii="Times New Roman" w:eastAsia="Times New Roman" w:hAnsi="Times New Roman"/>
                <w:sz w:val="24"/>
                <w:szCs w:val="24"/>
                <w:lang w:val="lv-LV" w:eastAsia="lv-LV"/>
              </w:rPr>
              <w:t>Informācija par saskaņojumiem</w:t>
            </w:r>
          </w:p>
        </w:tc>
        <w:tc>
          <w:tcPr>
            <w:tcW w:w="6499" w:type="dxa"/>
          </w:tcPr>
          <w:p w14:paraId="0CD48A04" w14:textId="42D76586" w:rsidR="007B4E00" w:rsidRPr="00354AF6" w:rsidRDefault="00354AF6" w:rsidP="007B4E00">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Informatīvā ziņojuma projekts ir saskaņots ar Tieslietu ministriju, Labklājības ministriju un Finanšu ministriju. Finanšu ministrijas </w:t>
            </w:r>
            <w:r w:rsidR="00D8313C">
              <w:rPr>
                <w:rFonts w:ascii="Times New Roman" w:hAnsi="Times New Roman"/>
                <w:sz w:val="28"/>
                <w:szCs w:val="28"/>
                <w:lang w:val="lv-LV"/>
              </w:rPr>
              <w:t>“</w:t>
            </w:r>
            <w:r>
              <w:rPr>
                <w:rFonts w:ascii="Times New Roman" w:hAnsi="Times New Roman"/>
                <w:i/>
                <w:iCs/>
                <w:sz w:val="28"/>
                <w:szCs w:val="28"/>
                <w:lang w:val="lv-LV"/>
              </w:rPr>
              <w:t>track change</w:t>
            </w:r>
            <w:r w:rsidR="00D8313C">
              <w:rPr>
                <w:rFonts w:ascii="Times New Roman" w:hAnsi="Times New Roman"/>
                <w:i/>
                <w:iCs/>
                <w:sz w:val="28"/>
                <w:szCs w:val="28"/>
                <w:lang w:val="lv-LV"/>
              </w:rPr>
              <w:t>”</w:t>
            </w:r>
            <w:r>
              <w:rPr>
                <w:rFonts w:ascii="Times New Roman" w:hAnsi="Times New Roman"/>
                <w:i/>
                <w:iCs/>
                <w:sz w:val="28"/>
                <w:szCs w:val="28"/>
                <w:lang w:val="lv-LV"/>
              </w:rPr>
              <w:t xml:space="preserve"> </w:t>
            </w:r>
            <w:r>
              <w:rPr>
                <w:rFonts w:ascii="Times New Roman" w:hAnsi="Times New Roman"/>
                <w:sz w:val="28"/>
                <w:szCs w:val="28"/>
                <w:lang w:val="lv-LV"/>
              </w:rPr>
              <w:t xml:space="preserve">režīmā veiktie redakcionālie precizējumi ir ņemti vērā. </w:t>
            </w:r>
          </w:p>
        </w:tc>
      </w:tr>
      <w:tr w:rsidR="00920DAC" w14:paraId="0CD48A09" w14:textId="77777777" w:rsidTr="007B4E00">
        <w:tc>
          <w:tcPr>
            <w:tcW w:w="534" w:type="dxa"/>
          </w:tcPr>
          <w:p w14:paraId="0CD48A06" w14:textId="77777777" w:rsidR="007B4E00" w:rsidRPr="008B46F9"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w:t>
            </w:r>
          </w:p>
        </w:tc>
        <w:tc>
          <w:tcPr>
            <w:tcW w:w="2551" w:type="dxa"/>
          </w:tcPr>
          <w:p w14:paraId="0CD48A07" w14:textId="77777777" w:rsidR="007B4E00" w:rsidRPr="003C41F6" w:rsidRDefault="00856692" w:rsidP="007B4E00">
            <w:pPr>
              <w:spacing w:after="0" w:line="240" w:lineRule="auto"/>
              <w:rPr>
                <w:rFonts w:ascii="Times New Roman" w:hAnsi="Times New Roman"/>
                <w:sz w:val="24"/>
                <w:szCs w:val="24"/>
                <w:lang w:val="lv-LV"/>
              </w:rPr>
            </w:pPr>
            <w:r w:rsidRPr="008B46F9">
              <w:rPr>
                <w:rFonts w:ascii="Times New Roman" w:eastAsia="Times New Roman" w:hAnsi="Times New Roman"/>
                <w:sz w:val="24"/>
                <w:szCs w:val="24"/>
                <w:lang w:val="lv-LV" w:eastAsia="lv-LV"/>
              </w:rPr>
              <w:t>Informācija par saskaņojumu ar Eiropas Savienības institūcijām</w:t>
            </w:r>
          </w:p>
        </w:tc>
        <w:tc>
          <w:tcPr>
            <w:tcW w:w="6499" w:type="dxa"/>
          </w:tcPr>
          <w:p w14:paraId="0CD48A08" w14:textId="079BF755" w:rsidR="007B4E00" w:rsidRPr="003C41F6" w:rsidRDefault="00354AF6" w:rsidP="007B4E00">
            <w:pPr>
              <w:spacing w:after="0" w:line="240" w:lineRule="auto"/>
              <w:jc w:val="both"/>
              <w:rPr>
                <w:rFonts w:ascii="Times New Roman" w:hAnsi="Times New Roman"/>
                <w:sz w:val="28"/>
                <w:szCs w:val="28"/>
                <w:lang w:val="lv-LV"/>
              </w:rPr>
            </w:pPr>
            <w:r>
              <w:rPr>
                <w:rFonts w:ascii="Times New Roman" w:hAnsi="Times New Roman"/>
                <w:sz w:val="28"/>
                <w:szCs w:val="28"/>
                <w:lang w:val="lv-LV"/>
              </w:rPr>
              <w:t>-</w:t>
            </w:r>
          </w:p>
        </w:tc>
      </w:tr>
      <w:tr w:rsidR="00920DAC" w14:paraId="0CD48A0D" w14:textId="77777777" w:rsidTr="007B4E00">
        <w:tc>
          <w:tcPr>
            <w:tcW w:w="534" w:type="dxa"/>
          </w:tcPr>
          <w:p w14:paraId="0CD48A0A"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p>
        </w:tc>
        <w:tc>
          <w:tcPr>
            <w:tcW w:w="2551" w:type="dxa"/>
          </w:tcPr>
          <w:p w14:paraId="0CD48A0B"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sidRPr="003C41F6">
              <w:rPr>
                <w:rFonts w:ascii="Times New Roman" w:eastAsia="Times New Roman" w:hAnsi="Times New Roman"/>
                <w:sz w:val="24"/>
                <w:szCs w:val="24"/>
                <w:lang w:val="lv-LV" w:eastAsia="lv-LV"/>
              </w:rPr>
              <w:t>Politikas joma</w:t>
            </w:r>
          </w:p>
        </w:tc>
        <w:tc>
          <w:tcPr>
            <w:tcW w:w="6499" w:type="dxa"/>
          </w:tcPr>
          <w:p w14:paraId="0CD48A0C" w14:textId="1873EA81" w:rsidR="007B4E00" w:rsidRPr="003C41F6" w:rsidRDefault="00354AF6" w:rsidP="007B4E00">
            <w:pPr>
              <w:spacing w:after="0" w:line="240" w:lineRule="auto"/>
              <w:jc w:val="both"/>
              <w:rPr>
                <w:rFonts w:ascii="Times New Roman" w:hAnsi="Times New Roman"/>
                <w:sz w:val="28"/>
                <w:szCs w:val="28"/>
                <w:lang w:val="lv-LV"/>
              </w:rPr>
            </w:pPr>
            <w:r>
              <w:rPr>
                <w:rFonts w:ascii="Times New Roman" w:hAnsi="Times New Roman"/>
                <w:sz w:val="28"/>
                <w:szCs w:val="28"/>
                <w:lang w:val="lv-LV"/>
              </w:rPr>
              <w:t>Būvniecības politika</w:t>
            </w:r>
          </w:p>
        </w:tc>
      </w:tr>
      <w:tr w:rsidR="00920DAC" w14:paraId="0CD48A11" w14:textId="77777777" w:rsidTr="007B4E00">
        <w:tc>
          <w:tcPr>
            <w:tcW w:w="534" w:type="dxa"/>
          </w:tcPr>
          <w:p w14:paraId="0CD48A0E" w14:textId="77777777" w:rsidR="007B4E00" w:rsidRPr="008B46F9"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6.</w:t>
            </w:r>
          </w:p>
        </w:tc>
        <w:tc>
          <w:tcPr>
            <w:tcW w:w="2551" w:type="dxa"/>
          </w:tcPr>
          <w:p w14:paraId="0CD48A0F"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sidRPr="008B46F9">
              <w:rPr>
                <w:rFonts w:ascii="Times New Roman" w:eastAsia="Times New Roman" w:hAnsi="Times New Roman"/>
                <w:sz w:val="24"/>
                <w:szCs w:val="24"/>
                <w:lang w:val="lv-LV" w:eastAsia="lv-LV"/>
              </w:rPr>
              <w:t>Atbildīgā amatpersona</w:t>
            </w:r>
          </w:p>
        </w:tc>
        <w:tc>
          <w:tcPr>
            <w:tcW w:w="6499" w:type="dxa"/>
          </w:tcPr>
          <w:p w14:paraId="0CD48A10" w14:textId="110A73EB" w:rsidR="007B4E00" w:rsidRPr="003C41F6" w:rsidRDefault="00354AF6" w:rsidP="007B4E00">
            <w:pPr>
              <w:spacing w:after="0" w:line="240" w:lineRule="auto"/>
              <w:jc w:val="both"/>
              <w:rPr>
                <w:rFonts w:ascii="Times New Roman" w:hAnsi="Times New Roman"/>
                <w:sz w:val="28"/>
                <w:szCs w:val="28"/>
                <w:lang w:val="lv-LV"/>
              </w:rPr>
            </w:pPr>
            <w:r>
              <w:rPr>
                <w:rFonts w:ascii="Times New Roman" w:hAnsi="Times New Roman"/>
                <w:sz w:val="28"/>
                <w:szCs w:val="28"/>
                <w:lang w:val="lv-LV"/>
              </w:rPr>
              <w:t>EM Būvniecības politikas departamenta direktore Olga Feldmane</w:t>
            </w:r>
          </w:p>
        </w:tc>
      </w:tr>
      <w:tr w:rsidR="00920DAC" w14:paraId="0CD48A15" w14:textId="77777777" w:rsidTr="007B4E00">
        <w:tc>
          <w:tcPr>
            <w:tcW w:w="534" w:type="dxa"/>
          </w:tcPr>
          <w:p w14:paraId="0CD48A12"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w:t>
            </w:r>
          </w:p>
        </w:tc>
        <w:tc>
          <w:tcPr>
            <w:tcW w:w="2551" w:type="dxa"/>
          </w:tcPr>
          <w:p w14:paraId="0CD48A13"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sidRPr="003C41F6">
              <w:rPr>
                <w:rFonts w:ascii="Times New Roman" w:eastAsia="Times New Roman" w:hAnsi="Times New Roman"/>
                <w:sz w:val="24"/>
                <w:szCs w:val="24"/>
                <w:lang w:val="lv-LV" w:eastAsia="lv-LV"/>
              </w:rPr>
              <w:t>Uzaicināmās personas</w:t>
            </w:r>
          </w:p>
        </w:tc>
        <w:tc>
          <w:tcPr>
            <w:tcW w:w="6499" w:type="dxa"/>
          </w:tcPr>
          <w:p w14:paraId="0CD48A14" w14:textId="43CF2168" w:rsidR="007B4E00" w:rsidRPr="003C41F6" w:rsidRDefault="00354AF6" w:rsidP="007B4E00">
            <w:pPr>
              <w:spacing w:after="0" w:line="240" w:lineRule="auto"/>
              <w:jc w:val="both"/>
              <w:rPr>
                <w:rFonts w:ascii="Times New Roman" w:hAnsi="Times New Roman"/>
                <w:sz w:val="28"/>
                <w:szCs w:val="28"/>
                <w:lang w:val="lv-LV"/>
              </w:rPr>
            </w:pPr>
            <w:r>
              <w:rPr>
                <w:rFonts w:ascii="Times New Roman" w:hAnsi="Times New Roman"/>
                <w:sz w:val="28"/>
                <w:szCs w:val="28"/>
                <w:lang w:val="lv-LV"/>
              </w:rPr>
              <w:t>EM Būvniecības politikas departamenta direktore Olga Feldmane</w:t>
            </w:r>
          </w:p>
        </w:tc>
      </w:tr>
      <w:tr w:rsidR="00920DAC" w14:paraId="0CD48A19" w14:textId="77777777" w:rsidTr="007B4E00">
        <w:tc>
          <w:tcPr>
            <w:tcW w:w="534" w:type="dxa"/>
          </w:tcPr>
          <w:p w14:paraId="0CD48A16" w14:textId="77777777" w:rsidR="007B4E00" w:rsidRPr="008B46F9"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8.</w:t>
            </w:r>
          </w:p>
        </w:tc>
        <w:tc>
          <w:tcPr>
            <w:tcW w:w="2551" w:type="dxa"/>
          </w:tcPr>
          <w:p w14:paraId="0CD48A17"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sidRPr="008B46F9">
              <w:rPr>
                <w:rFonts w:ascii="Times New Roman" w:eastAsia="Times New Roman" w:hAnsi="Times New Roman"/>
                <w:sz w:val="24"/>
                <w:szCs w:val="24"/>
                <w:lang w:val="lv-LV" w:eastAsia="lv-LV"/>
              </w:rPr>
              <w:t>Projekta ierobežotas pieejamības statuss</w:t>
            </w:r>
          </w:p>
        </w:tc>
        <w:tc>
          <w:tcPr>
            <w:tcW w:w="6499" w:type="dxa"/>
          </w:tcPr>
          <w:p w14:paraId="0CD48A18" w14:textId="76A3096F" w:rsidR="007B4E00" w:rsidRPr="003C41F6" w:rsidRDefault="00354AF6" w:rsidP="007B4E00">
            <w:pPr>
              <w:widowControl/>
              <w:shd w:val="clear" w:color="auto" w:fill="FFFFFF"/>
              <w:spacing w:after="0" w:line="240" w:lineRule="auto"/>
              <w:rPr>
                <w:rFonts w:ascii="Times New Roman" w:hAnsi="Times New Roman"/>
                <w:sz w:val="28"/>
                <w:szCs w:val="28"/>
                <w:lang w:val="lv-LV"/>
              </w:rPr>
            </w:pPr>
            <w:r>
              <w:rPr>
                <w:rFonts w:ascii="Times New Roman" w:hAnsi="Times New Roman"/>
                <w:sz w:val="28"/>
                <w:szCs w:val="28"/>
                <w:lang w:val="lv-LV"/>
              </w:rPr>
              <w:t>nav</w:t>
            </w:r>
          </w:p>
        </w:tc>
      </w:tr>
      <w:tr w:rsidR="00920DAC" w:rsidRPr="00D8313C" w14:paraId="0CD48A1D" w14:textId="77777777" w:rsidTr="007B4E00">
        <w:tc>
          <w:tcPr>
            <w:tcW w:w="534" w:type="dxa"/>
          </w:tcPr>
          <w:p w14:paraId="0CD48A1A"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9.</w:t>
            </w:r>
          </w:p>
        </w:tc>
        <w:tc>
          <w:tcPr>
            <w:tcW w:w="2551" w:type="dxa"/>
          </w:tcPr>
          <w:p w14:paraId="0CD48A1B" w14:textId="77777777" w:rsidR="007B4E00" w:rsidRPr="003C41F6" w:rsidRDefault="00856692" w:rsidP="007B4E00">
            <w:pPr>
              <w:spacing w:after="0" w:line="240" w:lineRule="auto"/>
              <w:rPr>
                <w:rFonts w:ascii="Times New Roman" w:eastAsia="Times New Roman" w:hAnsi="Times New Roman"/>
                <w:sz w:val="24"/>
                <w:szCs w:val="24"/>
                <w:lang w:val="lv-LV" w:eastAsia="lv-LV"/>
              </w:rPr>
            </w:pPr>
            <w:r w:rsidRPr="003C41F6">
              <w:rPr>
                <w:rFonts w:ascii="Times New Roman" w:eastAsia="Times New Roman" w:hAnsi="Times New Roman"/>
                <w:sz w:val="24"/>
                <w:szCs w:val="24"/>
                <w:lang w:val="lv-LV" w:eastAsia="lv-LV"/>
              </w:rPr>
              <w:t>Cita informācija</w:t>
            </w:r>
          </w:p>
        </w:tc>
        <w:tc>
          <w:tcPr>
            <w:tcW w:w="6499" w:type="dxa"/>
          </w:tcPr>
          <w:p w14:paraId="0CD48A1C" w14:textId="1575CBF0" w:rsidR="007B4E00" w:rsidRPr="003C41F6" w:rsidRDefault="004C4B76" w:rsidP="007B4E00">
            <w:pPr>
              <w:spacing w:after="0" w:line="240" w:lineRule="auto"/>
              <w:jc w:val="both"/>
              <w:rPr>
                <w:rFonts w:ascii="Times New Roman" w:hAnsi="Times New Roman"/>
                <w:sz w:val="28"/>
                <w:szCs w:val="28"/>
                <w:lang w:val="lv-LV"/>
              </w:rPr>
            </w:pPr>
            <w:r>
              <w:rPr>
                <w:rFonts w:ascii="Times New Roman" w:hAnsi="Times New Roman"/>
                <w:sz w:val="28"/>
                <w:szCs w:val="28"/>
                <w:lang w:val="lv-LV"/>
              </w:rPr>
              <w:t>Lūdzam informatīvā ziņojuma projektu</w:t>
            </w:r>
            <w:r w:rsidRPr="004C4B76">
              <w:rPr>
                <w:rFonts w:ascii="Times New Roman" w:hAnsi="Times New Roman"/>
                <w:sz w:val="28"/>
                <w:szCs w:val="28"/>
                <w:lang w:val="lv-LV"/>
              </w:rPr>
              <w:t xml:space="preserve"> iekļaut </w:t>
            </w:r>
            <w:r>
              <w:rPr>
                <w:rFonts w:ascii="Times New Roman" w:hAnsi="Times New Roman"/>
                <w:sz w:val="28"/>
                <w:szCs w:val="28"/>
                <w:lang w:val="lv-LV"/>
              </w:rPr>
              <w:t xml:space="preserve">Ministru kabineta </w:t>
            </w:r>
            <w:r w:rsidRPr="004C4B76">
              <w:rPr>
                <w:rFonts w:ascii="Times New Roman" w:hAnsi="Times New Roman"/>
                <w:sz w:val="28"/>
                <w:szCs w:val="28"/>
                <w:lang w:val="lv-LV"/>
              </w:rPr>
              <w:t xml:space="preserve">darba kārtībā vienlaikus ar Ekonomikas ministrijas iesniedzamo informatīvo ziņojumu, kas tiek gatavots, izpildot Ministru prezidenta 2021.gada 13.augusta rezolūciju Nr.2021-1.1.1./45-45 </w:t>
            </w:r>
            <w:r w:rsidRPr="004C4B76">
              <w:rPr>
                <w:rFonts w:ascii="Times New Roman" w:hAnsi="Times New Roman"/>
                <w:sz w:val="28"/>
                <w:szCs w:val="28"/>
                <w:lang w:val="lv-LV"/>
              </w:rPr>
              <w:lastRenderedPageBreak/>
              <w:t>(informatīvais ziņojums “Par Konkurences padomes 2021.gada 30.jūlija lēmuma Nr. 22 “Par pārkāpuma konstatēšanu un naudas soda uzlikšanu” ietekmi un priekšlikumiem konkurences tiesību pārkāpumu riska mazināšanai”) un skatīt to kopsakarā ar Finanšu ministrijas iesniedzamo Ēnu ekonomikas ierobežošanas plāna 2021.–2022.gadam projektu. Tādējādi tiktu nodrošināts, ka šobrīd aktuālie jautājumi, kas ir saistīti būvniecības nozari, tiek vērtēti vienkopus un dod Ministru kabineta locekļiem iespēju analizēt un lemt par šiem jautājumiem no dažādiem aspektiem un pieņemt konceptuālus lēmumus.</w:t>
            </w:r>
            <w:r>
              <w:rPr>
                <w:rFonts w:ascii="Times New Roman" w:hAnsi="Times New Roman"/>
                <w:sz w:val="28"/>
                <w:szCs w:val="28"/>
                <w:lang w:val="lv-LV"/>
              </w:rPr>
              <w:t xml:space="preserve"> Ekonomikas ministrija ar 2021.gada 7.septembra vēstuli Nr.</w:t>
            </w:r>
            <w:r w:rsidRPr="004C4B76">
              <w:rPr>
                <w:lang w:val="lv-LV"/>
              </w:rPr>
              <w:t xml:space="preserve"> </w:t>
            </w:r>
            <w:r w:rsidRPr="004C4B76">
              <w:rPr>
                <w:rFonts w:ascii="Times New Roman" w:hAnsi="Times New Roman"/>
                <w:sz w:val="28"/>
                <w:szCs w:val="28"/>
                <w:lang w:val="lv-LV"/>
              </w:rPr>
              <w:t>3.1-6/2021/2567</w:t>
            </w:r>
            <w:r>
              <w:rPr>
                <w:rFonts w:ascii="Times New Roman" w:hAnsi="Times New Roman"/>
                <w:sz w:val="28"/>
                <w:szCs w:val="28"/>
                <w:lang w:val="lv-LV"/>
              </w:rPr>
              <w:t xml:space="preserve"> informēja Ministru prezidentu, ka informatīvais ziņojums par Konkurences padomes lēmuma novērtēšanu tiks iesniegt</w:t>
            </w:r>
            <w:r w:rsidR="00C900CB">
              <w:rPr>
                <w:rFonts w:ascii="Times New Roman" w:hAnsi="Times New Roman"/>
                <w:sz w:val="28"/>
                <w:szCs w:val="28"/>
                <w:lang w:val="lv-LV"/>
              </w:rPr>
              <w:t>s</w:t>
            </w:r>
            <w:r>
              <w:rPr>
                <w:rFonts w:ascii="Times New Roman" w:hAnsi="Times New Roman"/>
                <w:sz w:val="28"/>
                <w:szCs w:val="28"/>
                <w:lang w:val="lv-LV"/>
              </w:rPr>
              <w:t xml:space="preserve"> izskatīšanai Ministru kabinetā līdz 21.septembrim. </w:t>
            </w:r>
          </w:p>
        </w:tc>
      </w:tr>
    </w:tbl>
    <w:p w14:paraId="0CD48A1E" w14:textId="77777777" w:rsidR="005E2975" w:rsidRDefault="005E2975" w:rsidP="007B4E00">
      <w:pPr>
        <w:spacing w:after="0" w:line="240" w:lineRule="auto"/>
        <w:rPr>
          <w:rFonts w:ascii="Times New Roman" w:hAnsi="Times New Roman"/>
          <w:sz w:val="28"/>
          <w:szCs w:val="28"/>
          <w:lang w:val="lv-LV"/>
        </w:rPr>
      </w:pPr>
    </w:p>
    <w:p w14:paraId="0CD48A1F" w14:textId="77777777" w:rsidR="00871F43" w:rsidRDefault="00856692" w:rsidP="00FA4CC4">
      <w:pPr>
        <w:spacing w:after="0" w:line="240" w:lineRule="auto"/>
        <w:rPr>
          <w:rFonts w:ascii="Times New Roman" w:hAnsi="Times New Roman"/>
          <w:sz w:val="28"/>
          <w:szCs w:val="28"/>
          <w:lang w:val="lv-LV"/>
        </w:rPr>
      </w:pPr>
      <w:r>
        <w:rPr>
          <w:rFonts w:ascii="Times New Roman" w:hAnsi="Times New Roman"/>
          <w:sz w:val="28"/>
          <w:szCs w:val="28"/>
          <w:lang w:val="lv-LV"/>
        </w:rPr>
        <w:t>Pielikumā:</w:t>
      </w:r>
    </w:p>
    <w:p w14:paraId="0CD48A21" w14:textId="478AA070" w:rsidR="00FA4CC4" w:rsidRDefault="00DB7A80" w:rsidP="00DB7A80">
      <w:pPr>
        <w:numPr>
          <w:ilvl w:val="0"/>
          <w:numId w:val="12"/>
        </w:numPr>
        <w:spacing w:after="0" w:line="240" w:lineRule="auto"/>
        <w:jc w:val="both"/>
        <w:rPr>
          <w:rFonts w:ascii="Times New Roman" w:hAnsi="Times New Roman"/>
          <w:sz w:val="28"/>
          <w:szCs w:val="28"/>
          <w:lang w:val="lv-LV"/>
        </w:rPr>
      </w:pPr>
      <w:r>
        <w:rPr>
          <w:rFonts w:ascii="Times New Roman" w:hAnsi="Times New Roman"/>
          <w:sz w:val="28"/>
          <w:szCs w:val="28"/>
          <w:lang w:val="lv-LV"/>
        </w:rPr>
        <w:t>Informatīvā ziņojuma “</w:t>
      </w:r>
      <w:r w:rsidRPr="00DB7A80">
        <w:rPr>
          <w:rFonts w:ascii="Times New Roman" w:hAnsi="Times New Roman"/>
          <w:sz w:val="28"/>
          <w:szCs w:val="28"/>
          <w:lang w:val="lv-LV"/>
        </w:rPr>
        <w:t>Par elektroniskās darba laika uzskaites regulējuma efektivitāti un nepieciešamajiem pilnveidojumiem”</w:t>
      </w:r>
      <w:r>
        <w:rPr>
          <w:rFonts w:ascii="Times New Roman" w:hAnsi="Times New Roman"/>
          <w:sz w:val="28"/>
          <w:szCs w:val="28"/>
          <w:lang w:val="lv-LV"/>
        </w:rPr>
        <w:t xml:space="preserve"> projekts (datne:</w:t>
      </w:r>
      <w:r w:rsidR="004C4B76">
        <w:rPr>
          <w:rFonts w:ascii="Times New Roman" w:hAnsi="Times New Roman"/>
          <w:sz w:val="28"/>
          <w:szCs w:val="28"/>
          <w:lang w:val="lv-LV"/>
        </w:rPr>
        <w:t xml:space="preserve"> </w:t>
      </w:r>
      <w:r w:rsidRPr="00DB7A80">
        <w:rPr>
          <w:rFonts w:ascii="Times New Roman" w:hAnsi="Times New Roman"/>
          <w:sz w:val="28"/>
          <w:szCs w:val="28"/>
          <w:lang w:val="lv-LV"/>
        </w:rPr>
        <w:t>EMzin_30082021_EDLU</w:t>
      </w:r>
      <w:r w:rsidR="00856692">
        <w:rPr>
          <w:rFonts w:ascii="Times New Roman" w:hAnsi="Times New Roman"/>
          <w:sz w:val="28"/>
          <w:szCs w:val="28"/>
          <w:lang w:val="lv-LV"/>
        </w:rPr>
        <w:t>S</w:t>
      </w:r>
      <w:r w:rsidRPr="00DB7A80">
        <w:rPr>
          <w:rFonts w:ascii="Times New Roman" w:hAnsi="Times New Roman"/>
          <w:sz w:val="28"/>
          <w:szCs w:val="28"/>
          <w:lang w:val="lv-LV"/>
        </w:rPr>
        <w:t>.doc</w:t>
      </w:r>
      <w:r>
        <w:rPr>
          <w:rFonts w:ascii="Times New Roman" w:hAnsi="Times New Roman"/>
          <w:sz w:val="28"/>
          <w:szCs w:val="28"/>
          <w:lang w:val="lv-LV"/>
        </w:rPr>
        <w:t>x)</w:t>
      </w:r>
      <w:r w:rsidR="004C4B76">
        <w:rPr>
          <w:rFonts w:ascii="Times New Roman" w:hAnsi="Times New Roman"/>
          <w:sz w:val="28"/>
          <w:szCs w:val="28"/>
          <w:lang w:val="lv-LV"/>
        </w:rPr>
        <w:t>;</w:t>
      </w:r>
    </w:p>
    <w:p w14:paraId="657F7ED4" w14:textId="29CD5C7B" w:rsidR="00DB7A80" w:rsidRDefault="00DB7A80" w:rsidP="00FA4CC4">
      <w:pPr>
        <w:numPr>
          <w:ilvl w:val="0"/>
          <w:numId w:val="12"/>
        </w:numPr>
        <w:spacing w:after="0" w:line="240" w:lineRule="auto"/>
        <w:rPr>
          <w:rFonts w:ascii="Times New Roman" w:hAnsi="Times New Roman"/>
          <w:sz w:val="28"/>
          <w:szCs w:val="28"/>
          <w:lang w:val="lv-LV"/>
        </w:rPr>
      </w:pPr>
      <w:r>
        <w:rPr>
          <w:rFonts w:ascii="Times New Roman" w:hAnsi="Times New Roman"/>
          <w:sz w:val="28"/>
          <w:szCs w:val="28"/>
          <w:lang w:val="lv-LV"/>
        </w:rPr>
        <w:t>Ministru kabineta protokollēmuma pr</w:t>
      </w:r>
      <w:r w:rsidR="004C4B76">
        <w:rPr>
          <w:rFonts w:ascii="Times New Roman" w:hAnsi="Times New Roman"/>
          <w:sz w:val="28"/>
          <w:szCs w:val="28"/>
          <w:lang w:val="lv-LV"/>
        </w:rPr>
        <w:t xml:space="preserve">ojekts (datne: </w:t>
      </w:r>
      <w:r w:rsidR="004C4B76" w:rsidRPr="004C4B76">
        <w:rPr>
          <w:rFonts w:ascii="Times New Roman" w:hAnsi="Times New Roman"/>
          <w:sz w:val="28"/>
          <w:szCs w:val="28"/>
          <w:lang w:val="lv-LV"/>
        </w:rPr>
        <w:t>EMProt-EDLUS.docx</w:t>
      </w:r>
      <w:r w:rsidR="004C4B76">
        <w:rPr>
          <w:rFonts w:ascii="Times New Roman" w:hAnsi="Times New Roman"/>
          <w:sz w:val="28"/>
          <w:szCs w:val="28"/>
          <w:lang w:val="lv-LV"/>
        </w:rPr>
        <w:t>);</w:t>
      </w:r>
    </w:p>
    <w:p w14:paraId="46619C2C" w14:textId="2D24249D" w:rsidR="004C4B76" w:rsidRDefault="00C55356" w:rsidP="00FA4CC4">
      <w:pPr>
        <w:numPr>
          <w:ilvl w:val="0"/>
          <w:numId w:val="12"/>
        </w:numPr>
        <w:spacing w:after="0" w:line="240" w:lineRule="auto"/>
        <w:rPr>
          <w:rFonts w:ascii="Times New Roman" w:hAnsi="Times New Roman"/>
          <w:sz w:val="28"/>
          <w:szCs w:val="28"/>
          <w:lang w:val="lv-LV"/>
        </w:rPr>
      </w:pPr>
      <w:r>
        <w:rPr>
          <w:rFonts w:ascii="Times New Roman" w:hAnsi="Times New Roman"/>
          <w:sz w:val="28"/>
          <w:szCs w:val="28"/>
          <w:lang w:val="lv-LV"/>
        </w:rPr>
        <w:t xml:space="preserve">Finanšu ministrijas atzinums (datne: </w:t>
      </w:r>
      <w:r w:rsidRPr="00C55356">
        <w:rPr>
          <w:rFonts w:ascii="Times New Roman" w:hAnsi="Times New Roman"/>
          <w:sz w:val="28"/>
          <w:szCs w:val="28"/>
          <w:lang w:val="lv-LV"/>
        </w:rPr>
        <w:t>FMnos_030921_4857.docx</w:t>
      </w:r>
      <w:r>
        <w:rPr>
          <w:rFonts w:ascii="Times New Roman" w:hAnsi="Times New Roman"/>
          <w:sz w:val="28"/>
          <w:szCs w:val="28"/>
          <w:lang w:val="lv-LV"/>
        </w:rPr>
        <w:t>);</w:t>
      </w:r>
    </w:p>
    <w:p w14:paraId="5E9D6E34" w14:textId="7FCD61E8" w:rsidR="00C55356" w:rsidRDefault="00C55356" w:rsidP="00FA4CC4">
      <w:pPr>
        <w:numPr>
          <w:ilvl w:val="0"/>
          <w:numId w:val="12"/>
        </w:numPr>
        <w:spacing w:after="0" w:line="240" w:lineRule="auto"/>
        <w:rPr>
          <w:rFonts w:ascii="Times New Roman" w:hAnsi="Times New Roman"/>
          <w:sz w:val="28"/>
          <w:szCs w:val="28"/>
          <w:lang w:val="lv-LV"/>
        </w:rPr>
      </w:pPr>
      <w:r>
        <w:rPr>
          <w:rFonts w:ascii="Times New Roman" w:hAnsi="Times New Roman"/>
          <w:sz w:val="28"/>
          <w:szCs w:val="28"/>
          <w:lang w:val="lv-LV"/>
        </w:rPr>
        <w:t xml:space="preserve">Labklājības ministrijas atzinums (datne: </w:t>
      </w:r>
      <w:r w:rsidRPr="00C55356">
        <w:rPr>
          <w:rFonts w:ascii="Times New Roman" w:hAnsi="Times New Roman"/>
          <w:sz w:val="28"/>
          <w:szCs w:val="28"/>
          <w:lang w:val="lv-LV"/>
        </w:rPr>
        <w:t>LM_atz.msg</w:t>
      </w:r>
      <w:r>
        <w:rPr>
          <w:rFonts w:ascii="Times New Roman" w:hAnsi="Times New Roman"/>
          <w:sz w:val="28"/>
          <w:szCs w:val="28"/>
          <w:lang w:val="lv-LV"/>
        </w:rPr>
        <w:t>);</w:t>
      </w:r>
    </w:p>
    <w:p w14:paraId="631B80DC" w14:textId="0531F1E7" w:rsidR="00C55356" w:rsidRDefault="00C55356" w:rsidP="00FA4CC4">
      <w:pPr>
        <w:numPr>
          <w:ilvl w:val="0"/>
          <w:numId w:val="12"/>
        </w:numPr>
        <w:spacing w:after="0" w:line="240" w:lineRule="auto"/>
        <w:rPr>
          <w:rFonts w:ascii="Times New Roman" w:hAnsi="Times New Roman"/>
          <w:sz w:val="28"/>
          <w:szCs w:val="28"/>
          <w:lang w:val="lv-LV"/>
        </w:rPr>
      </w:pPr>
      <w:r>
        <w:rPr>
          <w:rFonts w:ascii="Times New Roman" w:hAnsi="Times New Roman"/>
          <w:sz w:val="28"/>
          <w:szCs w:val="28"/>
          <w:lang w:val="lv-LV"/>
        </w:rPr>
        <w:t>Tieslietu ministrijas atzinums (datne: TM_atz.msg)</w:t>
      </w:r>
    </w:p>
    <w:p w14:paraId="0CD48A22" w14:textId="77777777" w:rsidR="00871F43" w:rsidRDefault="00871F43" w:rsidP="007B4E00">
      <w:pPr>
        <w:spacing w:after="0" w:line="240" w:lineRule="auto"/>
        <w:rPr>
          <w:rFonts w:ascii="Times New Roman" w:hAnsi="Times New Roman"/>
          <w:sz w:val="28"/>
          <w:szCs w:val="28"/>
          <w:lang w:val="lv-LV"/>
        </w:rPr>
      </w:pPr>
    </w:p>
    <w:p w14:paraId="0CD48A23" w14:textId="77777777" w:rsidR="00F338FB" w:rsidRDefault="00F338FB" w:rsidP="00F338FB">
      <w:pPr>
        <w:tabs>
          <w:tab w:val="left" w:pos="5670"/>
        </w:tabs>
        <w:spacing w:after="0" w:line="240" w:lineRule="auto"/>
        <w:rPr>
          <w:rFonts w:ascii="Times New Roman" w:hAnsi="Times New Roman"/>
          <w:sz w:val="28"/>
          <w:szCs w:val="28"/>
          <w:lang w:val="lv-LV"/>
        </w:rPr>
      </w:pPr>
    </w:p>
    <w:p w14:paraId="0CD48A24" w14:textId="36E9C0CD" w:rsidR="009B2E08" w:rsidRDefault="00856692" w:rsidP="009B2E08">
      <w:pPr>
        <w:tabs>
          <w:tab w:val="left" w:pos="5670"/>
        </w:tabs>
        <w:spacing w:after="0" w:line="240" w:lineRule="auto"/>
        <w:rPr>
          <w:rFonts w:ascii="Times New Roman" w:hAnsi="Times New Roman"/>
          <w:sz w:val="28"/>
          <w:szCs w:val="28"/>
          <w:lang w:val="lv-LV"/>
        </w:rPr>
      </w:pPr>
      <w:bookmarkStart w:id="1" w:name="_Hlk16498009"/>
      <w:r>
        <w:rPr>
          <w:rFonts w:ascii="Times New Roman" w:hAnsi="Times New Roman"/>
          <w:noProof/>
          <w:sz w:val="28"/>
          <w:szCs w:val="28"/>
          <w:lang w:val="lv-LV"/>
        </w:rPr>
        <w:t>Ekonomikas ministrs</w:t>
      </w:r>
      <w:r>
        <w:rPr>
          <w:rFonts w:ascii="Times New Roman" w:hAnsi="Times New Roman"/>
          <w:sz w:val="28"/>
          <w:szCs w:val="28"/>
          <w:lang w:val="lv-LV"/>
        </w:rPr>
        <w:tab/>
      </w:r>
      <w:r w:rsidR="00F77716">
        <w:rPr>
          <w:rFonts w:ascii="Times New Roman" w:hAnsi="Times New Roman"/>
          <w:sz w:val="28"/>
          <w:szCs w:val="28"/>
          <w:lang w:val="lv-LV"/>
        </w:rPr>
        <w:tab/>
      </w:r>
      <w:r w:rsidR="00F77716">
        <w:rPr>
          <w:rFonts w:ascii="Times New Roman" w:hAnsi="Times New Roman"/>
          <w:sz w:val="28"/>
          <w:szCs w:val="28"/>
          <w:lang w:val="lv-LV"/>
        </w:rPr>
        <w:tab/>
      </w:r>
      <w:r w:rsidR="00F77716">
        <w:rPr>
          <w:rFonts w:ascii="Times New Roman" w:hAnsi="Times New Roman"/>
          <w:sz w:val="28"/>
          <w:szCs w:val="28"/>
          <w:lang w:val="lv-LV"/>
        </w:rPr>
        <w:tab/>
      </w:r>
      <w:r w:rsidR="00C55356">
        <w:rPr>
          <w:rFonts w:ascii="Times New Roman" w:hAnsi="Times New Roman"/>
          <w:sz w:val="28"/>
          <w:szCs w:val="28"/>
          <w:lang w:val="lv-LV"/>
        </w:rPr>
        <w:t>Jānis Vitenbergs</w:t>
      </w:r>
    </w:p>
    <w:bookmarkEnd w:id="1"/>
    <w:p w14:paraId="0CD48A25" w14:textId="77777777" w:rsidR="00377382" w:rsidRPr="00784FFA" w:rsidRDefault="00377382" w:rsidP="00F338FB">
      <w:pPr>
        <w:tabs>
          <w:tab w:val="left" w:pos="5670"/>
        </w:tabs>
        <w:spacing w:after="0" w:line="240" w:lineRule="auto"/>
        <w:rPr>
          <w:rFonts w:ascii="Times New Roman" w:hAnsi="Times New Roman"/>
          <w:sz w:val="28"/>
          <w:szCs w:val="28"/>
          <w:lang w:val="lv-LV"/>
        </w:rPr>
      </w:pPr>
    </w:p>
    <w:tbl>
      <w:tblPr>
        <w:tblW w:w="0" w:type="auto"/>
        <w:tblInd w:w="108" w:type="dxa"/>
        <w:tblLook w:val="04A0" w:firstRow="1" w:lastRow="0" w:firstColumn="1" w:lastColumn="0" w:noHBand="0" w:noVBand="1"/>
      </w:tblPr>
      <w:tblGrid>
        <w:gridCol w:w="8222"/>
      </w:tblGrid>
      <w:tr w:rsidR="00920DAC" w14:paraId="0CD48A27" w14:textId="77777777" w:rsidTr="001434A8">
        <w:trPr>
          <w:cantSplit/>
          <w:trHeight w:val="579"/>
        </w:trPr>
        <w:tc>
          <w:tcPr>
            <w:tcW w:w="8222" w:type="dxa"/>
          </w:tcPr>
          <w:p w14:paraId="0CD48A26" w14:textId="34E16A3A" w:rsidR="00377382" w:rsidRDefault="00377382" w:rsidP="00F338FB">
            <w:pPr>
              <w:pStyle w:val="BodyTextIndent"/>
              <w:spacing w:before="0" w:after="0"/>
              <w:ind w:left="0"/>
            </w:pPr>
          </w:p>
        </w:tc>
      </w:tr>
    </w:tbl>
    <w:p w14:paraId="0CD48A28" w14:textId="77777777" w:rsidR="00067964" w:rsidRDefault="00067964" w:rsidP="00F338FB">
      <w:pPr>
        <w:spacing w:after="0" w:line="240" w:lineRule="auto"/>
        <w:rPr>
          <w:rFonts w:ascii="Times New Roman" w:hAnsi="Times New Roman"/>
          <w:sz w:val="20"/>
          <w:szCs w:val="20"/>
          <w:lang w:val="lv-LV"/>
        </w:rPr>
      </w:pPr>
    </w:p>
    <w:p w14:paraId="0CD48A29" w14:textId="1D311158" w:rsidR="007B4E00" w:rsidRPr="00AF2C99" w:rsidRDefault="008B0B16" w:rsidP="007B4E00">
      <w:pPr>
        <w:spacing w:after="0" w:line="240" w:lineRule="auto"/>
        <w:rPr>
          <w:rFonts w:ascii="Times New Roman" w:hAnsi="Times New Roman"/>
          <w:i/>
          <w:iCs/>
          <w:noProof/>
          <w:sz w:val="20"/>
          <w:szCs w:val="20"/>
          <w:lang w:val="lv-LV"/>
        </w:rPr>
      </w:pPr>
      <w:bookmarkStart w:id="2" w:name="_Hlk16498020"/>
      <w:r>
        <w:rPr>
          <w:rFonts w:ascii="Times New Roman" w:hAnsi="Times New Roman"/>
          <w:i/>
          <w:iCs/>
          <w:noProof/>
          <w:sz w:val="20"/>
          <w:szCs w:val="20"/>
          <w:lang w:val="lv-LV"/>
        </w:rPr>
        <w:t>Olga Feldmane 67013257</w:t>
      </w:r>
    </w:p>
    <w:p w14:paraId="0CD48A2A" w14:textId="585E4CD6" w:rsidR="002E1474" w:rsidRDefault="008B0B16" w:rsidP="007B4E00">
      <w:pPr>
        <w:spacing w:after="0" w:line="240" w:lineRule="auto"/>
        <w:rPr>
          <w:rFonts w:ascii="Times New Roman" w:hAnsi="Times New Roman"/>
          <w:i/>
          <w:iCs/>
          <w:noProof/>
          <w:sz w:val="20"/>
          <w:szCs w:val="20"/>
          <w:lang w:val="lv-LV"/>
        </w:rPr>
      </w:pPr>
      <w:r>
        <w:rPr>
          <w:rFonts w:ascii="Times New Roman" w:hAnsi="Times New Roman"/>
          <w:i/>
          <w:iCs/>
          <w:noProof/>
          <w:sz w:val="20"/>
          <w:szCs w:val="20"/>
          <w:lang w:val="lv-LV"/>
        </w:rPr>
        <w:t>Olga.Feldmane@em.gov.lv</w:t>
      </w:r>
      <w:bookmarkEnd w:id="2"/>
    </w:p>
    <w:sectPr w:rsidR="002E1474" w:rsidSect="009B2E08">
      <w:headerReference w:type="default" r:id="rId7"/>
      <w:headerReference w:type="first" r:id="rId8"/>
      <w:type w:val="continuous"/>
      <w:pgSz w:w="11920" w:h="16840"/>
      <w:pgMar w:top="1134" w:right="851" w:bottom="1134" w:left="170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7703A" w14:textId="77777777" w:rsidR="002E6FF0" w:rsidRDefault="002E6FF0">
      <w:pPr>
        <w:spacing w:after="0" w:line="240" w:lineRule="auto"/>
      </w:pPr>
      <w:r>
        <w:separator/>
      </w:r>
    </w:p>
  </w:endnote>
  <w:endnote w:type="continuationSeparator" w:id="0">
    <w:p w14:paraId="0EAD85BA" w14:textId="77777777" w:rsidR="002E6FF0" w:rsidRDefault="002E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E0798" w14:textId="77777777" w:rsidR="002E6FF0" w:rsidRDefault="002E6FF0">
      <w:pPr>
        <w:spacing w:after="0" w:line="240" w:lineRule="auto"/>
      </w:pPr>
      <w:r>
        <w:separator/>
      </w:r>
    </w:p>
  </w:footnote>
  <w:footnote w:type="continuationSeparator" w:id="0">
    <w:p w14:paraId="75321E98" w14:textId="77777777" w:rsidR="002E6FF0" w:rsidRDefault="002E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8A2B" w14:textId="77777777" w:rsidR="009B2E08" w:rsidRPr="00E63A11" w:rsidRDefault="00856692" w:rsidP="009B2E08">
    <w:pPr>
      <w:pStyle w:val="Header"/>
      <w:jc w:val="center"/>
      <w:rPr>
        <w:rFonts w:ascii="Times New Roman" w:hAnsi="Times New Roman"/>
        <w:sz w:val="24"/>
        <w:szCs w:val="24"/>
      </w:rPr>
    </w:pPr>
    <w:r w:rsidRPr="00E63A11">
      <w:rPr>
        <w:rFonts w:ascii="Times New Roman" w:hAnsi="Times New Roman"/>
        <w:sz w:val="24"/>
        <w:szCs w:val="24"/>
      </w:rPr>
      <w:fldChar w:fldCharType="begin"/>
    </w:r>
    <w:r w:rsidRPr="00E63A11">
      <w:rPr>
        <w:rFonts w:ascii="Times New Roman" w:hAnsi="Times New Roman"/>
        <w:sz w:val="24"/>
        <w:szCs w:val="24"/>
      </w:rPr>
      <w:instrText xml:space="preserve"> PAGE   \* MERGEFORMAT </w:instrText>
    </w:r>
    <w:r w:rsidRPr="00E63A11">
      <w:rPr>
        <w:rFonts w:ascii="Times New Roman" w:hAnsi="Times New Roman"/>
        <w:sz w:val="24"/>
        <w:szCs w:val="24"/>
      </w:rPr>
      <w:fldChar w:fldCharType="separate"/>
    </w:r>
    <w:r>
      <w:rPr>
        <w:rFonts w:ascii="Times New Roman" w:hAnsi="Times New Roman"/>
        <w:sz w:val="24"/>
        <w:szCs w:val="24"/>
      </w:rPr>
      <w:t>2</w:t>
    </w:r>
    <w:r w:rsidRPr="00E63A11">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8A2C" w14:textId="77777777" w:rsidR="009B355D" w:rsidRDefault="009B355D" w:rsidP="009B355D">
    <w:pPr>
      <w:pStyle w:val="Header"/>
      <w:rPr>
        <w:rFonts w:ascii="Times New Roman" w:hAnsi="Times New Roman"/>
      </w:rPr>
    </w:pPr>
  </w:p>
  <w:p w14:paraId="0CD48A2D" w14:textId="77777777" w:rsidR="009B355D" w:rsidRDefault="009B355D" w:rsidP="009B355D">
    <w:pPr>
      <w:pStyle w:val="Header"/>
      <w:rPr>
        <w:rFonts w:ascii="Times New Roman" w:hAnsi="Times New Roman"/>
      </w:rPr>
    </w:pPr>
  </w:p>
  <w:p w14:paraId="0CD48A2E" w14:textId="77777777" w:rsidR="009B355D" w:rsidRDefault="009B355D" w:rsidP="009B355D">
    <w:pPr>
      <w:pStyle w:val="Header"/>
      <w:rPr>
        <w:rFonts w:ascii="Times New Roman" w:hAnsi="Times New Roman"/>
      </w:rPr>
    </w:pPr>
  </w:p>
  <w:p w14:paraId="0CD48A2F" w14:textId="77777777" w:rsidR="009B355D" w:rsidRDefault="009B355D" w:rsidP="009B355D">
    <w:pPr>
      <w:pStyle w:val="Header"/>
      <w:rPr>
        <w:rFonts w:ascii="Times New Roman" w:hAnsi="Times New Roman"/>
      </w:rPr>
    </w:pPr>
  </w:p>
  <w:p w14:paraId="0CD48A30" w14:textId="77777777" w:rsidR="009B355D" w:rsidRDefault="009B355D" w:rsidP="009B355D">
    <w:pPr>
      <w:pStyle w:val="Header"/>
      <w:rPr>
        <w:rFonts w:ascii="Times New Roman" w:hAnsi="Times New Roman"/>
      </w:rPr>
    </w:pPr>
  </w:p>
  <w:p w14:paraId="0CD48A31" w14:textId="77777777" w:rsidR="009B355D" w:rsidRDefault="009B355D" w:rsidP="009B355D">
    <w:pPr>
      <w:pStyle w:val="Header"/>
      <w:rPr>
        <w:rFonts w:ascii="Times New Roman" w:hAnsi="Times New Roman"/>
      </w:rPr>
    </w:pPr>
  </w:p>
  <w:p w14:paraId="0CD48A32" w14:textId="77777777" w:rsidR="009B355D" w:rsidRDefault="009B355D" w:rsidP="009B355D">
    <w:pPr>
      <w:pStyle w:val="Header"/>
      <w:rPr>
        <w:rFonts w:ascii="Times New Roman" w:hAnsi="Times New Roman"/>
      </w:rPr>
    </w:pPr>
  </w:p>
  <w:p w14:paraId="0CD48A33" w14:textId="77777777" w:rsidR="009B355D" w:rsidRDefault="009B355D" w:rsidP="009B355D">
    <w:pPr>
      <w:pStyle w:val="Header"/>
      <w:rPr>
        <w:rFonts w:ascii="Times New Roman" w:hAnsi="Times New Roman"/>
      </w:rPr>
    </w:pPr>
  </w:p>
  <w:p w14:paraId="0CD48A34" w14:textId="77777777" w:rsidR="009B355D" w:rsidRDefault="009B355D" w:rsidP="009B355D">
    <w:pPr>
      <w:pStyle w:val="Header"/>
      <w:rPr>
        <w:rFonts w:ascii="Times New Roman" w:hAnsi="Times New Roman"/>
      </w:rPr>
    </w:pPr>
  </w:p>
  <w:p w14:paraId="0CD48A35" w14:textId="77777777" w:rsidR="009B355D" w:rsidRDefault="009B355D" w:rsidP="009B355D">
    <w:pPr>
      <w:pStyle w:val="Header"/>
      <w:rPr>
        <w:rFonts w:ascii="Times New Roman" w:hAnsi="Times New Roman"/>
      </w:rPr>
    </w:pPr>
  </w:p>
  <w:p w14:paraId="0CD48A36" w14:textId="77777777" w:rsidR="009B355D" w:rsidRDefault="009B355D">
    <w:pPr>
      <w:pStyle w:val="Header"/>
      <w:rPr>
        <w:rFonts w:ascii="Times New Roman" w:hAnsi="Times New Roman"/>
      </w:rPr>
    </w:pPr>
  </w:p>
  <w:p w14:paraId="0CD48A37" w14:textId="77777777" w:rsidR="009B355D" w:rsidRPr="009B355D" w:rsidRDefault="002E6FF0">
    <w:pPr>
      <w:pStyle w:val="Header"/>
      <w:rPr>
        <w:rFonts w:ascii="Times New Roman" w:hAnsi="Times New Roman"/>
      </w:rPr>
    </w:pPr>
    <w:r>
      <w:rPr>
        <w:noProof/>
      </w:rPr>
      <w:pict w14:anchorId="0CD48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3073" type="#_x0000_t75" style="position:absolute;margin-left:85.6pt;margin-top:58.5pt;width:467.45pt;height:81.35pt;z-index:-3;visibility:visible;mso-position-horizontal-relative:page;mso-position-vertical-relative:page;mso-height-relative:margin">
          <v:imagedata r:id="rId1" o:title=""/>
          <w10:wrap anchorx="page" anchory="page"/>
        </v:shape>
      </w:pict>
    </w:r>
    <w:r>
      <w:rPr>
        <w:noProof/>
      </w:rPr>
      <w:pict w14:anchorId="0CD48A39">
        <v:shapetype id="_x0000_t202" coordsize="21600,21600" o:spt="202" path="m,l,21600r21600,l21600,xe">
          <v:stroke joinstyle="miter"/>
          <v:path gradientshapeok="t" o:connecttype="rect"/>
        </v:shapetype>
        <v:shape id="Text Box 43" o:spid="_x0000_s3074" type="#_x0000_t202" style="position:absolute;margin-left:92.25pt;margin-top:159.9pt;width:459.75pt;height:24.75pt;z-index:-1;visibility:visible;mso-position-horizontal-relative:page;mso-position-vertical-relative:page" filled="f" stroked="f">
          <v:textbox inset="0,0,0,0">
            <w:txbxContent>
              <w:p w14:paraId="0CD48A3B" w14:textId="77777777" w:rsidR="009B355D" w:rsidRPr="009B2E08" w:rsidRDefault="00856692" w:rsidP="009B355D">
                <w:pPr>
                  <w:spacing w:after="0" w:line="194" w:lineRule="exact"/>
                  <w:ind w:left="20" w:right="-45"/>
                  <w:jc w:val="center"/>
                  <w:rPr>
                    <w:rFonts w:ascii="Times New Roman" w:eastAsia="Times New Roman" w:hAnsi="Times New Roman"/>
                    <w:sz w:val="17"/>
                    <w:szCs w:val="17"/>
                    <w:lang w:val="lv-LV"/>
                  </w:rPr>
                </w:pPr>
                <w:r w:rsidRPr="009B2E08">
                  <w:rPr>
                    <w:rFonts w:ascii="Times New Roman" w:eastAsia="Times New Roman" w:hAnsi="Times New Roman"/>
                    <w:color w:val="231F20"/>
                    <w:sz w:val="17"/>
                    <w:szCs w:val="17"/>
                    <w:lang w:val="lv-LV"/>
                  </w:rPr>
                  <w:t>Brīvības iela 55, Rīga, LV-1519, tālr. 67013100, fakss 67280882, e-pasts pasts@em.gov.lv, www.em.gov.lv</w:t>
                </w:r>
              </w:p>
            </w:txbxContent>
          </v:textbox>
          <w10:wrap anchorx="page" anchory="page"/>
        </v:shape>
      </w:pict>
    </w:r>
    <w:r>
      <w:rPr>
        <w:noProof/>
      </w:rPr>
      <w:pict w14:anchorId="0CD48A3A">
        <v:group id="Group 41" o:spid="_x0000_s3075" style="position:absolute;margin-left:145.7pt;margin-top:149.85pt;width:346.25pt;height:.1pt;z-index:-2;mso-position-horizontal-relative:page;mso-position-vertical-relative:page" coordorigin="2915,2998" coordsize="6926,2">
          <v:shape id="Freeform 42" o:spid="_x0000_s3076" style="position:absolute;left:2915;top:2998;width:6926;height:2;visibility:visible;mso-wrap-style:square;v-text-anchor:top" coordsize="6926,2" path="m,l6926,e" filled="f" strokecolor="#231f20" strokeweight=".25pt">
            <v:path arrowok="t" o:connecttype="custom" o:connectlocs="0,0;6926,0" o:connectangles="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69B17555"/>
    <w:multiLevelType w:val="hybridMultilevel"/>
    <w:tmpl w:val="3DF8C5D2"/>
    <w:lvl w:ilvl="0" w:tplc="CD36117A">
      <w:start w:val="1"/>
      <w:numFmt w:val="decimal"/>
      <w:lvlText w:val="%1."/>
      <w:lvlJc w:val="left"/>
      <w:pPr>
        <w:ind w:left="720" w:hanging="360"/>
      </w:pPr>
    </w:lvl>
    <w:lvl w:ilvl="1" w:tplc="D7BE1BF4" w:tentative="1">
      <w:start w:val="1"/>
      <w:numFmt w:val="lowerLetter"/>
      <w:lvlText w:val="%2."/>
      <w:lvlJc w:val="left"/>
      <w:pPr>
        <w:ind w:left="1440" w:hanging="360"/>
      </w:pPr>
    </w:lvl>
    <w:lvl w:ilvl="2" w:tplc="AEB85D04" w:tentative="1">
      <w:start w:val="1"/>
      <w:numFmt w:val="lowerRoman"/>
      <w:lvlText w:val="%3."/>
      <w:lvlJc w:val="right"/>
      <w:pPr>
        <w:ind w:left="2160" w:hanging="180"/>
      </w:pPr>
    </w:lvl>
    <w:lvl w:ilvl="3" w:tplc="F7A628CA" w:tentative="1">
      <w:start w:val="1"/>
      <w:numFmt w:val="decimal"/>
      <w:lvlText w:val="%4."/>
      <w:lvlJc w:val="left"/>
      <w:pPr>
        <w:ind w:left="2880" w:hanging="360"/>
      </w:pPr>
    </w:lvl>
    <w:lvl w:ilvl="4" w:tplc="1CF6851A" w:tentative="1">
      <w:start w:val="1"/>
      <w:numFmt w:val="lowerLetter"/>
      <w:lvlText w:val="%5."/>
      <w:lvlJc w:val="left"/>
      <w:pPr>
        <w:ind w:left="3600" w:hanging="360"/>
      </w:pPr>
    </w:lvl>
    <w:lvl w:ilvl="5" w:tplc="98B4D696" w:tentative="1">
      <w:start w:val="1"/>
      <w:numFmt w:val="lowerRoman"/>
      <w:lvlText w:val="%6."/>
      <w:lvlJc w:val="right"/>
      <w:pPr>
        <w:ind w:left="4320" w:hanging="180"/>
      </w:pPr>
    </w:lvl>
    <w:lvl w:ilvl="6" w:tplc="E496057C" w:tentative="1">
      <w:start w:val="1"/>
      <w:numFmt w:val="decimal"/>
      <w:lvlText w:val="%7."/>
      <w:lvlJc w:val="left"/>
      <w:pPr>
        <w:ind w:left="5040" w:hanging="360"/>
      </w:pPr>
    </w:lvl>
    <w:lvl w:ilvl="7" w:tplc="C2FE21B2" w:tentative="1">
      <w:start w:val="1"/>
      <w:numFmt w:val="lowerLetter"/>
      <w:lvlText w:val="%8."/>
      <w:lvlJc w:val="left"/>
      <w:pPr>
        <w:ind w:left="5760" w:hanging="360"/>
      </w:pPr>
    </w:lvl>
    <w:lvl w:ilvl="8" w:tplc="F4D8B59A"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TrackMoves/>
  <w:defaultTabStop w:val="720"/>
  <w:drawingGridHorizontalSpacing w:val="110"/>
  <w:displayHorizont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474"/>
    <w:rsid w:val="00006384"/>
    <w:rsid w:val="00010A96"/>
    <w:rsid w:val="00030349"/>
    <w:rsid w:val="00045B96"/>
    <w:rsid w:val="00067964"/>
    <w:rsid w:val="00084483"/>
    <w:rsid w:val="000A6346"/>
    <w:rsid w:val="000F04CB"/>
    <w:rsid w:val="00114B10"/>
    <w:rsid w:val="00124173"/>
    <w:rsid w:val="001434A8"/>
    <w:rsid w:val="00150449"/>
    <w:rsid w:val="001D144B"/>
    <w:rsid w:val="00275B9E"/>
    <w:rsid w:val="002765F2"/>
    <w:rsid w:val="002B3077"/>
    <w:rsid w:val="002C4CD8"/>
    <w:rsid w:val="002E1474"/>
    <w:rsid w:val="002E6FF0"/>
    <w:rsid w:val="00354AF6"/>
    <w:rsid w:val="00377382"/>
    <w:rsid w:val="003830A1"/>
    <w:rsid w:val="003C41F6"/>
    <w:rsid w:val="003F7D1C"/>
    <w:rsid w:val="00435B3B"/>
    <w:rsid w:val="00484B00"/>
    <w:rsid w:val="004B318D"/>
    <w:rsid w:val="004C4B76"/>
    <w:rsid w:val="00517616"/>
    <w:rsid w:val="00520AB9"/>
    <w:rsid w:val="00535564"/>
    <w:rsid w:val="00582C37"/>
    <w:rsid w:val="005E0D83"/>
    <w:rsid w:val="005E2975"/>
    <w:rsid w:val="005F1CEC"/>
    <w:rsid w:val="006116AD"/>
    <w:rsid w:val="006448DC"/>
    <w:rsid w:val="00652D7A"/>
    <w:rsid w:val="00663C3A"/>
    <w:rsid w:val="0069237D"/>
    <w:rsid w:val="00693967"/>
    <w:rsid w:val="006C1639"/>
    <w:rsid w:val="006D3871"/>
    <w:rsid w:val="006F452E"/>
    <w:rsid w:val="007704BD"/>
    <w:rsid w:val="00784FFA"/>
    <w:rsid w:val="00794D42"/>
    <w:rsid w:val="007B3BA5"/>
    <w:rsid w:val="007B48EC"/>
    <w:rsid w:val="007B4E00"/>
    <w:rsid w:val="007E4D1F"/>
    <w:rsid w:val="00805F83"/>
    <w:rsid w:val="00815277"/>
    <w:rsid w:val="00856692"/>
    <w:rsid w:val="00871F43"/>
    <w:rsid w:val="00876C21"/>
    <w:rsid w:val="008B0B16"/>
    <w:rsid w:val="008B46F9"/>
    <w:rsid w:val="008C5DCC"/>
    <w:rsid w:val="00920DAC"/>
    <w:rsid w:val="00926AE1"/>
    <w:rsid w:val="00954D5A"/>
    <w:rsid w:val="009A1DA5"/>
    <w:rsid w:val="009B2E08"/>
    <w:rsid w:val="009B355D"/>
    <w:rsid w:val="009D0464"/>
    <w:rsid w:val="009D3CD7"/>
    <w:rsid w:val="00A16D66"/>
    <w:rsid w:val="00A36131"/>
    <w:rsid w:val="00A831CA"/>
    <w:rsid w:val="00AF2C99"/>
    <w:rsid w:val="00B031A4"/>
    <w:rsid w:val="00B71D61"/>
    <w:rsid w:val="00BD7BCB"/>
    <w:rsid w:val="00BE5D59"/>
    <w:rsid w:val="00C47F57"/>
    <w:rsid w:val="00C55356"/>
    <w:rsid w:val="00C83B91"/>
    <w:rsid w:val="00C900CB"/>
    <w:rsid w:val="00D21FA6"/>
    <w:rsid w:val="00D30F75"/>
    <w:rsid w:val="00D4379D"/>
    <w:rsid w:val="00D55B4B"/>
    <w:rsid w:val="00D8313C"/>
    <w:rsid w:val="00D859C2"/>
    <w:rsid w:val="00DA442A"/>
    <w:rsid w:val="00DB7A80"/>
    <w:rsid w:val="00DE3099"/>
    <w:rsid w:val="00E365CE"/>
    <w:rsid w:val="00E45D08"/>
    <w:rsid w:val="00E57795"/>
    <w:rsid w:val="00E63A11"/>
    <w:rsid w:val="00ED2ED7"/>
    <w:rsid w:val="00F338FB"/>
    <w:rsid w:val="00F60586"/>
    <w:rsid w:val="00F61A2A"/>
    <w:rsid w:val="00F77716"/>
    <w:rsid w:val="00FA4CC4"/>
    <w:rsid w:val="00FA5028"/>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0CD489F0"/>
  <w15:chartTrackingRefBased/>
  <w15:docId w15:val="{5A8A51DD-879C-4AD3-BA6C-53D5B582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1778</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Andris Lazarevs</cp:lastModifiedBy>
  <cp:revision>11</cp:revision>
  <cp:lastPrinted>1899-12-31T22:00:00Z</cp:lastPrinted>
  <dcterms:created xsi:type="dcterms:W3CDTF">2020-07-10T10:28:00Z</dcterms:created>
  <dcterms:modified xsi:type="dcterms:W3CDTF">2021-09-13T10:11:00Z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