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25-TA-2417: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30. jūnija noteikumos Nr. 328 "Noteikumi par Latvijas būvnormatīvu LBN 262-15 "Elektronisko sakaru tīkli""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20.03.2026. 18:05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328 "Noteikumi par Latvijas būvnormatīvu LBN 262-15 "Elektronisko sakaru tīkli""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- 23.03.2026.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(LIKTA) izskatot Valsts kancelejā iesniegtos “Grozījumi Ministru kabineta 2015. gada 30. jūnija noteikumos Nr. 328 "Noteikumi par Latvijas būvnormatīvu LBN 262-15 "Elektronisko sakaru tīkli"" (25-TA-2417), secinām, ka šis tas no LIKTA un citu iestāžu viedokļiem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LIKTA aicināja precizēt 13.1.apakšpunkta redakciju, kas jaunākajā versijā tomēr neietver būtisku un skaidri noteiktu atsauci, ka prasības attiecas tieši uz ēkai piederošo iekšējo optiskā tīkla fizisko infrastruktūru. Uzskatām, ka ir svarīgi noteikumos skaidri definēt, ka konkrētās prasības attiecināmas tikai uz ēkai piederošo iekšējo optiskā tīkla fizisko infrastruktūru. Latvijas normatīvie akti parasti nenosaka konkrētu optiskā spraudņa tipu (piemēram, SC/APC) kā obligātu visos gadījumos, savukārt atsauce uz regulu rada iespaidu, ka tieši Regula (ES) 2024/1309 (“Gigabit Infrastructure Act”) nosaka SC/APC kā obligātu standartu, bet tā tas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lūdzam atkārtoti izskatīt LIKTA iepriekš piedāvāto 13.1.apakšpunkta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“Ēkai piederošās iekšējās fiziskās infrastruktūras optiskās šķiedras saskarnei piekļuves punktā izmanto SC/APC tipa optiskos spraudņus un adapterus. Galalietotāja telpā optisko kabeli pabeidz ar galiekārtai atbilstošu optisko spraudni vai optisko rozeti ar SC/APC tipa optisko adapteri.”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VSS 02.04.2026. Pārstāvis sanāksmē nepiedalījās.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328 "Noteikumi par Latvijas būvnormatīvu LBN 262-15 "Elektronisko sakaru tīkli""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03.03.2026. 07:43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328 "Noteikumi par Latvijas būvnormatīvu LBN 262-15 "Elektronisko sakaru tīkli""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tās virzītajos grozījumos Ministru kabineta 2015. gada 30. jūnija noteikumos Nr. 328 "Noteikumi par Latvijas būvnormatīvu LBN 262-15 “Elektronisko sakaru tīkli”” (25-TA-2417), izpildot Gigabitiskās infrastruktūras akta 10. panta 4. punkta prasības, ir izstrādājusi tehniskās specifikācijas ēkas iekšējās fiziskās infrastruktūras izbūvei un optiskās šķiedras instalācijai.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BITE atbalsta mērķi nodrošināt skaidrību par optiskajai šķiedrai gatavas ēkas iekšējās fiziskās infrastruktūras un iekšējās optiskās šķiedras instalācijas prasībām, izpildot Gigabitiskās infrastruktūras akta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BITE ieskatā pašreizējā redakcija rada būtisku interpretācijas risku, ka jaunās tehniskās specifikācijas var tikt attiecinātas uz visiem elektronisko sakaru tīkliem, tostarp uz operatoru īpašumā esošiem tīkliem, kas nav paredzēti koplietošanai. Šāda pieeja nav samērīga ar regulējuma mērķi, jo gigabitiskās infrastruktūras regulējums pēc būtības ir vērsts uz to, lai ēkas īpašnieks/attīstītājs par saviem līdzekļiem nodrošinātu ēkā “optiskajai šķiedrai gatavu” iekšējo pasīvo infrastruktūru un iekšējo optiskās šķiedras instalāciju, tādējādi izveidojot vienotu, standartizētu risinājumu ēkā. Šādā modelī elektronisko sakaru komersantiem nav jāveido katram savs atsevišķs iekšējais tīkls ēkā – komersanti pieslēdzas piekļuves punktā/ēkas pieslēguma vietā un tālāk sniedz pakalpojumu, izmantojot ēkai piederošo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praksē saglabāsies gadījumi, kad vairāki elektronisko sakaru komersanti katrs izbūvē vai pārbūvē savu infrastruktūru, savukārt vienota iekšējā fiziskā infrastruktūra vai optiskās šķiedras instalācija nemaz netiek izveidota. Tāpēc nav samērīgi vienotos standartus un tehniskās specifikācijas attiecināt uz operatoru īpašumā esošiem tīkliem. Tiem jāattiecas tikai uz ēkai piederošu iekšējo pasīvo infrastruktūru līdz piekļuves punktam, savukārt operatoram, modernizējot savu tīklu, jābūt tiesībām izvēlēties citus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ka 7.1, 11, 11.1, 13.1 un 16.1 prasības attiecas uz ēkai piederošu iekšējo fizisko infrastruktūru līdz piekļuves punktam. Lai būtu nepārprotami izsecināms, ka šīs prasības nav attiecināmas uz tādiem tīkliem, kas tiek izbūvēti par operatora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VSS 02.04.2026. Precizēts 7.</w:t>
            </w:r>
            <w:r w:rsidR="00000000" w:rsidRPr="00000000" w:rsidDel="00000000">
              <w:rPr>
                <w:vertAlign w:val="superscript"/>
                <w:rtl w:val="0"/>
              </w:rPr>
              <w:t xml:space="preserve">1</w:t>
            </w:r>
            <w:r w:rsidR="00000000" w:rsidRPr="00000000" w:rsidDel="00000000">
              <w:rPr>
                <w:rtl w:val="0"/>
              </w:rPr>
              <w:t xml:space="preserve"> 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 ka būvnormatīva  tehniskās specifikācijas var tikt attiecinātas uz visiem elektronisko sakaru tīkliem, tostarp uz operatoru īpašumā esošiem tīkliem, kas nav paredzēti koplietošanai, atzīmējams,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10. panta 3. punkts paredz izņēmumus, proti, līdz 2026. gada 12. februārim visas ēkas, tostarp to elementus, kas ir kopīpašumā, kurās veic nozīmīgu renovāciju, kā definēts Direktīvas 2010/31/ES 2. panta 10) punktā, aprīko ar optiskajai šķiedrai gatavu ēkas iekšējo fizisko infrastruktūru un ēkas iekšējo optiskās šķiedras instalāciju, tostarp savienojumiem līdz fiziskajam punktam, kurā galalietotājs pieslēdzas publiskajam tīklam, ja tas nesamērīgi nepalielina renovācijas darbu izmaksas un ja tas ir tehniski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50. preambulu  noteikumi par optiskajai šķiedrai gatavu ēkas iekšējo fizisko infrastruktūru, piekļuves punktu un ēkas iekšējo optiskās šķiedras instalāciju neizslēdz citu veidu tehnoloģiju klātbūtni tajā pašā ēkas iekšējā fiziskajā infrastruktūrā. Ēku īpašniekiem ir tiesības ēku aprīkot ar ēkas iekšējo instalāciju papildus optiskajai šķiedrai, ar papildu ēkas iekšējo fizisko infrastruktūru, kurā iespējams izmitināt instalāciju papildus optiskajai šķiedrai, vai citiem elektronisko sakaru tīklu elementiem.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328 "Noteikumi par Latvijas būvnormatīvu LBN 262-15 "Elektronisko sakaru tīkli""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328 "Noteikumi par Latvijas būvnormatīvu LBN 262-15 "Elektronisko sakaru tīkli"" (Latvijas Vēstnesis, 2015, 125.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Elektronisko komunikāciju asociācija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13.1 punktu:Optiskās šķiedras saskarnei galalietotāja telpā ir otršķirīga nozīme, jo optiskā kabeļa spraudnim jebkurā gadījumā jāatbilst galiekārtas adapterim. Daudz būtiskāk ir reglamentēt saskarni piekļuves punktā, lai dažādi pakalpojumu sniedzēji bez diskriminācijas varētu savu signālu padot jebkuram galalietotājam attiecīgajā ēkā. SC/UPC un SC/APC optiskie savienotāji nav savstarpēji savietojami, tādēļ šāda izvēles iespēja nebūtu vēlama. Praksē pašlaik lielākajā daļā jaunajos tīkos tiek izmantoti SC/APC tipa savienotāji.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Optiskās šķiedras saskarnei piekļuves punktā izmanto SC/APC tipa optiskos spraudņus un adapterus. Galalietotāja telpā optisko kabeli pabeidz ar galiekārtai atbilstošu optisko spraudni vai optisko rozeti ar SC/APC tipa optisko adapteri.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iekšējās fiziskās infrastruktūras optiskās šķiedras saskarnei piekļuves punktā izmanto SC/APC tipa optiskos spraudņus un adapterus. Galalietotāja telpā optisko kabeli pabeidz ar galiekārtai atbilstošu optisko spraudni vai optisko rozeti ar SC/APC tipa optisko adapteri.”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328 "Noteikumi par Latvijas būvnormatīvu LBN 262-15 "Elektronisko sakaru tīkli"" (Latvijas Vēstnesis, 2015, 125. nr.) šādus grozījumus: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328 "Noteikumi par Latvijas būvnormatīvu LBN 262-15 "Elektronisko sakaru tīkli"" (Latvijas Vēstnesis, 2015, 125.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tās virzītajos grozījumos Ministru kabineta 2015. gada 30. jūnija noteikumos Nr. 328 "Noteikumi par Latvijas būvnormatīvu LBN 262-15 “Elektronisko sakaru tīkli”” (25-TA-2417), izpildot Gigabitiskās infrastruktūras akta 10. panta 4. punkta prasības, ir izstrādājusi tehniskās specifikācijas ēkas iekšējās fiziskās infrastruktūras izbūvei un optiskās šķiedras instalācijai.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BITE atbalsta mērķi nodrošināt skaidrību par optiskajai šķiedrai gatavas ēkas iekšējās fiziskās infrastruktūras un iekšējās optiskās šķiedras instalācijas prasībām, izpildot Gigabitiskās infrastruktūras akta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BITE ieskatā pašreizējā redakcija rada būtisku interpretācijas risku, ka jaunās tehniskās specifikācijas var tikt attiecinātas uz visiem elektronisko sakaru tīkliem, tostarp uz operatoru īpašumā esošiem tīkliem, kas nav paredzēti koplietošanai. Šāda pieeja nav samērīga ar regulējuma mērķi, jo gigabitiskās infrastruktūras regulējums pēc būtības ir vērsts uz to, lai ēkas īpašnieks/attīstītājs par saviem līdzekļiem nodrošinātu ēkā “optiskajai šķiedrai gatavu” iekšējo pasīvo infrastruktūru un iekšējo optiskās šķiedras instalāciju, tādējādi izveidojot vienotu, standartizētu risinājumu ēkā. Šādā modelī elektronisko sakaru komersantiem nav jāveido katram savs atsevišķs iekšējais tīkls ēkā – komersanti pieslēdzas piekļuves punktā/ēkas pieslēguma vietā un tālāk sniedz pakalpojumu, izmantojot ēkai piederošo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praksē saglabāsies gadījumi, kad vairāki elektronisko sakaru komersanti katrs izbūvē vai pārbūvē savu infrastruktūru, savukārt vienota iekšējā fiziskā infrastruktūra un optiskās šķiedras instalācija nemaz netiek izveidota. Tāpēc nav samērīgi vienotos standartus un tehniskās specifikācijas attiecināt uz operatoru īpašumā esošiem tīkliem. Tiem jāattiecas tikai uz ēkai piederošu iekšējo pasīvo infrastruktūru līdz piekļuves punktam. Savukārt operatoram, modernizējot savu tīklu, jābūt tiesībām izvēlēties citus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ka 7.</w:t>
            </w:r>
            <w:r w:rsidR="00000000" w:rsidRPr="00000000" w:rsidDel="00000000">
              <w:rPr>
                <w:vertAlign w:val="superscript"/>
                <w:rtl w:val="0"/>
              </w:rPr>
              <w:t xml:space="preserve">1</w:t>
            </w:r>
            <w:r w:rsidR="00000000" w:rsidRPr="00000000" w:rsidDel="00000000">
              <w:rPr>
                <w:rtl w:val="0"/>
              </w:rPr>
              <w:t xml:space="preserve">, 11, 11.</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1</w:t>
            </w:r>
            <w:r w:rsidR="00000000" w:rsidRPr="00000000" w:rsidDel="00000000">
              <w:rPr>
                <w:rtl w:val="0"/>
              </w:rPr>
              <w:t xml:space="preserve"> un 16.</w:t>
            </w:r>
            <w:r w:rsidR="00000000" w:rsidRPr="00000000" w:rsidDel="00000000">
              <w:rPr>
                <w:vertAlign w:val="superscript"/>
                <w:rtl w:val="0"/>
              </w:rPr>
              <w:t xml:space="preserve">1 </w:t>
            </w:r>
            <w:r w:rsidR="00000000" w:rsidRPr="00000000" w:rsidDel="00000000">
              <w:rPr>
                <w:rtl w:val="0"/>
              </w:rPr>
              <w:t xml:space="preserve">prasības attiecas uz ēkai piederošu iekšējo fizisko infrastruktūru līdz piekļuves punktam. Lai būtu nepārprotami izsecināms, ka šīs prasības nav attiecināmas uz tādiem tīkliem, kas tiek izbūvēti par operatora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VSS 02.04.2026. Precizēts 7.</w:t>
            </w:r>
            <w:r w:rsidR="00000000" w:rsidRPr="00000000" w:rsidDel="00000000">
              <w:rPr>
                <w:vertAlign w:val="superscript"/>
                <w:rtl w:val="0"/>
              </w:rPr>
              <w:t xml:space="preserve">1</w:t>
            </w:r>
            <w:r w:rsidR="00000000" w:rsidRPr="00000000" w:rsidDel="00000000">
              <w:rPr>
                <w:rtl w:val="0"/>
              </w:rPr>
              <w:t xml:space="preserve"> 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 ka būvnormatīva  tehniskās specifikācijas var tikt attiecinātas uz visiem elektronisko sakaru tīkliem, tostarp uz operatoru īpašumā esošiem tīkliem, kas nav paredzēti koplietošanai, atzīmējams,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10. panta 3. punkts paredz izņēmumus, proti, līdz 2026. gada 12. februārim visas ēkas, tostarp to elementus, kas ir kopīpašumā, kurās veic nozīmīgu renovāciju, kā definēts Direktīvas 2010/31/ES 2. panta 10) punktā, aprīko ar optiskajai šķiedrai gatavu ēkas iekšējo fizisko infrastruktūru un ēkas iekšējo optiskās šķiedras instalāciju, tostarp savienojumiem līdz fiziskajam punktam, kurā galalietotājs pieslēdzas publiskajam tīklam, ja tas nesamērīgi nepalielina renovācijas darbu izmaksas un ja tas ir tehniski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50. preambulu  noteikumi par optiskajai šķiedrai gatavu ēkas iekšējo fizisko infrastruktūru, piekļuves punktu un ēkas iekšējo optiskās šķiedras instalāciju neizslēdz citu veidu tehnoloģiju klātbūtni tajā pašā ēkas iekšējā fiziskajā infrastruktūrā. Ēku īpašniekiem ir tiesības ēku aprīkot ar ēkas iekšējo instalāciju papildus optiskajai šķiedrai, ar papildu ēkas iekšējo fizisko infrastruktūru, kurā iespējams izmitināt instalāciju papildus optiskajai šķiedrai, vai citiem elektronisko sakaru tīklu elementiem.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328 "Noteikumi par Latvijas būvnormatīvu LBN 262-15 "Elektronisko sakaru tīkli"" (Latvijas Vēstnesis, 2015, 125. nr.) šādus grozījumus: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328 "Noteikumi par Latvijas būvnormatīvu LBN 262-15 "Elektronisko sakaru tīkli"" (Latvijas Vēstnesis, 2015, 125.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Elektronisko komunikāciju asociācija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 noteikumu 4 .punktā visu nacionālo standartu sarakstu, kurus piemēro jebkuros elektronisko sakaru tīklos būtu ļoti laikietilpīgs pasākums bez praktiskas atdeves.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4. punktu šādā redakcijā: Nacionālā standartizācijas institūcija publicē tīmekļvietnē www.lvs.lv to Latvijas nacionālo standartu sarakstu, kurus piemēro </w:t>
            </w:r>
            <w:r w:rsidR="00000000" w:rsidRPr="00000000" w:rsidDel="00000000">
              <w:rPr>
                <w:u w:val="single"/>
                <w:rtl w:val="0"/>
              </w:rPr>
              <w:t xml:space="preserve">Gigabitiskās Infrastruktūras Akta prasību un</w:t>
            </w:r>
            <w:r w:rsidR="00000000" w:rsidRPr="00000000" w:rsidDel="00000000">
              <w:rPr>
                <w:rtl w:val="0"/>
              </w:rPr>
              <w:t xml:space="preserve"> Latvijas būvnormatīva LBN 262-15 "Elektronisko sakaru tīkli"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 termiņu 4.punkta izpildei - vai nu konkrētu datumu vai, piemēram, 2 mēnešu laikā no grozījumu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 standarta punkta redakcija par piemērojamiem standartiem.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328 "Noteikumi par Latvijas būvnormatīvu LBN 262-15 "Elektronisko sakaru tīkli"" (Latvijas Vēstnesis, 2015, 125. nr.) šādus grozījumus: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328 "Noteikumi par Latvijas būvnormatīvu LBN 262-15 "Elektronisko sakaru tīkli"" (Latvijas Vēstnesis, 2015, 125.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Elektronisko komunikāciju asociācija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spēkā stāšāns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12.februāris jau ir pagājis, tad šo punktu svītrot. Tādā gadījumā MK noteikumi stāsies spēkā nākamajā dienā pēc to izsludināšanas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328 "Noteikumi par Latvijas būvnormatīvu LBN 262-15 "Elektronisko sakaru tīkli"" (Latvijas Vēstnesis, 2015, 125. nr.) šādus grozījumus: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12. februārī.</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tiesiskās paļāvības principu, normatīvo aktu normām ir uz nākotni vērsts spēks, kas nodrošina tiesisko noteiktību.  Atsevišķos, normatīvajos aktos īpaši paredzētos izņēmuma gadījumos, tiesību normas var darboties arī ar atpakaļejošu spēku (piemēram, krimināltiesībās un administratīvo pārkāpumu tiesībās ieviešot personai labvēlīgāku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lūdzu izvērtēt noteikumu projekta 2. punktā ietverto grozījumu spēkā stāšanās laiku, precizējot to vai arī papildinot anotāciju ar pamatojumu normu atpakaļejošam spēkam.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16.01.2026. 18:33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328 "Noteikumi par Latvijas būvnormatīvu LBN 262-15 "Elektronisko sakaru tīkli""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Elektronisko komunikāciju asociācija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Elektrosakaru savienības (turpmāk ITU) rekomendācijas ITU-T G.652 un ITU-T G.657 ir paredzētas optiskās šķiedras kabeļu ražotājiem, nevis šo kabeļu izmantotājiem.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Optiskās šķiedras kabeļa ražotājs savu ražojumu nodrošina ar atbilstības sertifikātu vai atbilstības deklarāciju un tehnisko datu lapu, kurā norāda prasības, kas jāievēro kabeļa ierīkošanas un ekspluatācijas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optiskās šķiedras kabeļu ražotāji uz brīvprātīgiem pamatiem var izstrādāt Latvijas nacionālo standartu, ja tas ir nepieciešams. Standarts izstrādājams, ievērojot Standartizācijas likumā noteikto kārtību un izmantojot ITU rekomendācijās iekļautos nosacījumus, tomēr tas nav šā būvnormatīva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nekāda objektīva pamata noteikt ITU rekomendācijas par obligāti piemērojamu Latvijas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izslēgt punktus 1.1. un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izslēgt punktus 1.3. u 1.4., jo šīs prasības jau izriet no būvnormatīva 12.punkta.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1.5.punktu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būvnormatīvu ar 13.1 punktu šādā redakcijā: "13.1 Optiskās šķiedras saskarnei galalietotāja telpā (optiskajā rozetē vai sadales kastītē) izmanto optisko spraudni un adapteri, piemēram, SC/UPC  vai SC/APC”;”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tiesību akta 1.6.punktu iebildumu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1.1. - 1.5. apakšpunktu redakcijām tika panākta vienošanās 13.02.2026. starpinstitūciju sanāksmē.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328 "Noteikumi par Latvijas būvnormatīvu LBN 262-15 "Elektronisko sakaru tīkli""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328 "Noteikumi par Latvijas būvnormatīvu LBN 262-15 "Elektronisko sakaru tīkli"" (Latvijas Vēstnesis, 2015, 125.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paredz papildināt būvnormatīvu ar 11.</w:t>
            </w:r>
            <w:r w:rsidR="00000000" w:rsidRPr="00000000" w:rsidDel="00000000">
              <w:rPr>
                <w:vertAlign w:val="superscript"/>
                <w:rtl w:val="0"/>
              </w:rPr>
              <w:t xml:space="preserve">1</w:t>
            </w:r>
            <w:r w:rsidR="00000000" w:rsidRPr="00000000" w:rsidDel="00000000">
              <w:rPr>
                <w:rtl w:val="0"/>
              </w:rPr>
              <w:t xml:space="preserve"> punktu, kas noteic, ka optiskās šķiedras infrastruktūras instalācijas laikā minimālais rādiuss mikrocaurulēm Rmin = 30 × OD, mikrokabelim Rmin = 50 × OD, izvelkamo šķiedru kabelim Rmin = 20 × OD un iekštelpu kabeļiem Rmin = 20 × 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noteikumu projektā vai anotācijā skaidrojumu, ka OD ir mikrocaurules vai kabeļa ārējais diametrs.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OD ir mikrocaurules vai kabeļa ārējais diametrs.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328 "Noteikumi par Latvijas būvnormatīvu LBN 262-15 "Elektronisko sakaru tīkli"" (Latvijas Vēstnesis, 2015, 125. nr.) šādus grozījumus: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anotācijā nepietiekami izvērtēta grozījumu piemērošana vēsturiskām, kultūras pieminekļu aizsardzībā esošām un padomju perioda daudzdzīvokļu ēkām, kur kabeļu šahtu izbūve var būt tehniski sarežģīta vai nesamērīgi dārga.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regulējumā elastīgākus risinājumus šādām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 gadījumus, kad ir pieļaujami tehniski līdzvērtīgi alternatīvi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13.02.2026. starpinstitūciju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Atkāpju saskaņošanas kārtība ir noteikta Būvniecības likuma 9.</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2.5. sadaļa papildināta ar skaidrojumu, norādot, ka veiktais atbilstības izmaksu aprēķins attiecas uz noteikumu projekta 1.6. apakšpunktā noteikto prasību nodrošināt vismaz vienas optiskās šķiedras kabeļa ierīkošanu uz vienu dzīvokli un uz noteikumu projekta 1.2., 1.3., 1.4. un 1.5. apakšpunktā noteiktajām tehniskajām prasībām attiecībā uz optiskās šķiedras tipu, instalācijas fiziskajiem parametriem un galalietotāja pieslēguma saskarni, ciktāl šo prasību izpilde ietekmē nepieciešamo materiālu apjomu un būvdarbu apjomu.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izpildes nodrošināšanas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sadaļa papildināta, norādot, ka noteikumu projekta izpildes nodrošināšanas institūcijas ir valsts un pašvaldību nekustamā īpašuma pārvaldītāji.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25-TA-2417</w:t>
    </w:r>
    <w:r>
      <w:br/>
    </w:r>
    <w:r w:rsidR="00000000" w:rsidRPr="00000000" w:rsidDel="00000000">
      <w:rPr>
        <w:rtl w:val="0"/>
      </w:rPr>
      <w:t xml:space="preserve">10.04.2026. 14.27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25-TA-2417</w:t>
    </w:r>
    <w:r>
      <w:br/>
    </w:r>
    <w:r w:rsidR="00000000" w:rsidRPr="00000000" w:rsidDel="00000000">
      <w:rPr>
        <w:rtl w:val="0"/>
      </w:rPr>
      <w:t xml:space="preserve">10.04.2026. 14.27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Izziņa_25-TA-2417.docx</dc:title>
</cp:coreProperties>
</file>

<file path=docProps/custom.xml><?xml version="1.0" encoding="utf-8"?>
<Properties xmlns="http://schemas.openxmlformats.org/officeDocument/2006/custom-properties" xmlns:vt="http://schemas.openxmlformats.org/officeDocument/2006/docPropsVTypes"/>
</file>