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projektā paredzēto apropriācijas pārdali finansējums degvielas kvalitātes uzraudzības funkcijas īstenošanai tiks nodrošināts tikai 2024.gadam, lūdzam anotācijas 3.sadaļas punktā “Cita informācija” skaidrot no kādiem līdzekļiem Būvniecības valsts kontroles birojs to nodrošinās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informē, ka finansējums 2025. gadam atbildīgajai institūcijai par enerģētikas politikas ieviešanas uzraudzību - Būvniecības valsts kontroles birojam - tiks nodrošināts, iekļaujot to ikgadējā informatīvajā ziņojumā "Pasākumi elektroenerģijas tirgus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š.g. 25. jūnija Ministru kabineta sēdē tika izskatīts un pieņemts likumprojekts "Transporta enerģijas likums" (23-TA-1451), kura 4. pantā ir dots deleģējums Ministru kabinetam izstrādāt noteikumus, tai skaitā, par transporta enerģijas tirgus nacionālās shēmas izveidi. Attiecīgi finansējums un tā avoti atbildīgajai institūcijai par transporta enerģijas tirgus uzraudzību tiks iekļauti iepriekš minētajos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ir papildināta tiesību akta projekta ietekme uz valsts un pašvaldību budžetiem, skaidrojot finansējuma piešķiršanu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61 797,22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budžets tiek veidots veselos skaitļos, piedāvājam rīkojumā uzrādīt pārdalāmo finansējumu veselā 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61 798 euro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ņēmusi vērā Ekonomikas ministrijas priekšlikumu precizēt Ministru kabineta rīkojuma projekta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61 823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61 797,22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precizēt pārdalāmā finansējuma apmēru, noapaļojot to uz augšu līdz veselam ciparam.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rīkojuma projekta 1. punktu, ņemot vērā Ekonomikas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61 823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Ekonomikas ministrijas budžeta apakšprogrammu 29.06.00 "Enerģētikas jautājumu administrēšana", lai nodrošinātu degvielas kvalitātes uzraudzības funkcijas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norādot, ka  Būvniecības valsts kontroles birojam Degvielas kvalitātes uzraudzības funkcijas īstenošanai  nepieciešamais finansējums 2025. </w:t>
            </w:r>
            <w:r w:rsidR="00000000" w:rsidRPr="00000000" w:rsidDel="00000000">
              <w:rPr>
                <w:u w:val="single"/>
                <w:rtl w:val="0"/>
              </w:rPr>
              <w:t xml:space="preserve">un turpmākajiem gadiem</w:t>
            </w:r>
            <w:r w:rsidR="00000000" w:rsidRPr="00000000" w:rsidDel="00000000">
              <w:rPr>
                <w:rtl w:val="0"/>
              </w:rPr>
              <w:t xml:space="preserve"> tiks nodrošināts, iekļaujot to ikgadējā informatīvajā ziņojumā "Pasākumi elektroenerģijas tirgus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sākotnējās ietekmes izvērtējuma (anotācijas) 3. sadaļas punktu "Cita informācija"  saskaņā ar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anotācijas 3.sadaļas 6.punktā norādītais aprēķins ir matemātiski korekts, nepieciešamības gadījumā precizējot pārdalāmā finansējuma apmēru gan anotācijā, gan rīkojuma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nepieciešamā finansējuma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6.punktā minēto informāciju ar Klimata un enerģētikas ministrijas identificētās ekonomijas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izvērtējuma (anotācijas) 3. sadaļas 6. punkts ir papildināts ar Klimata un enerģētikas ministrijas identificētajiem ekonomijas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kvalitātes uzraudzības funkcijas īstenošanai nepieciešamais finansējums 2024.gadā xx euro apmērā tiks nodrošināts, pārdalot to no Klimata un enerģētikas ministrijas budžeta programmas 97.00.00 "Nozaru vadība un politikas plānošana" uz Ekonomikas ministrijas budžeta apakšprogrammu 29.06.00 "Enerģētikas jautājumu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izvērtējums (anotācija) ir precizēta saskaņā ar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24-TA-1202</w:t>
    </w:r>
    <w:r>
      <w:br/>
    </w:r>
    <w:r w:rsidR="00000000" w:rsidRPr="00000000" w:rsidDel="00000000">
      <w:rPr>
        <w:rtl w:val="0"/>
      </w:rPr>
      <w:t xml:space="preserve">08.07.2024. 17.21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24-TA-1202</w:t>
    </w:r>
    <w:r>
      <w:br/>
    </w:r>
    <w:r w:rsidR="00000000" w:rsidRPr="00000000" w:rsidDel="00000000">
      <w:rPr>
        <w:rtl w:val="0"/>
      </w:rPr>
      <w:t xml:space="preserve">08.07.2024. 17.21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Izziņa_24-TA-1202.docx</dc:title>
</cp:coreProperties>
</file>

<file path=docProps/custom.xml><?xml version="1.0" encoding="utf-8"?>
<Properties xmlns="http://schemas.openxmlformats.org/officeDocument/2006/custom-properties" xmlns:vt="http://schemas.openxmlformats.org/officeDocument/2006/docPropsVTypes"/>
</file>