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BEBDE" w14:textId="77777777" w:rsidR="00786DAF" w:rsidRDefault="00786DAF" w:rsidP="002C22B9">
      <w:pPr>
        <w:jc w:val="center"/>
        <w:rPr>
          <w:sz w:val="20"/>
        </w:rPr>
      </w:pPr>
    </w:p>
    <w:p w14:paraId="6DA45985" w14:textId="77777777" w:rsidR="002C22B9" w:rsidRDefault="002C22B9" w:rsidP="002C22B9">
      <w:pPr>
        <w:jc w:val="center"/>
        <w:rPr>
          <w:sz w:val="20"/>
        </w:rPr>
      </w:pPr>
      <w:r w:rsidRPr="00914649">
        <w:rPr>
          <w:sz w:val="20"/>
        </w:rPr>
        <w:t>Rīgā</w:t>
      </w:r>
    </w:p>
    <w:p w14:paraId="550B3428"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B233E0E" w14:textId="77777777" w:rsidTr="009F77B9">
        <w:tc>
          <w:tcPr>
            <w:tcW w:w="450" w:type="dxa"/>
            <w:tcBorders>
              <w:top w:val="nil"/>
              <w:left w:val="nil"/>
              <w:bottom w:val="nil"/>
              <w:right w:val="nil"/>
            </w:tcBorders>
          </w:tcPr>
          <w:p w14:paraId="29DCD1A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1763B575" w14:textId="3F63CBB8"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67A16">
              <w:rPr>
                <w:szCs w:val="24"/>
              </w:rPr>
              <w:t>21.04.2021</w:t>
            </w:r>
            <w:r w:rsidRPr="00615936">
              <w:rPr>
                <w:szCs w:val="24"/>
              </w:rPr>
              <w:fldChar w:fldCharType="end"/>
            </w:r>
            <w:bookmarkEnd w:id="0"/>
          </w:p>
        </w:tc>
        <w:tc>
          <w:tcPr>
            <w:tcW w:w="708" w:type="dxa"/>
            <w:tcBorders>
              <w:top w:val="nil"/>
              <w:left w:val="nil"/>
              <w:bottom w:val="nil"/>
              <w:right w:val="nil"/>
            </w:tcBorders>
          </w:tcPr>
          <w:p w14:paraId="67350F69"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99D1B0A" w14:textId="06BCC34B"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150CB">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67A16">
              <w:rPr>
                <w:szCs w:val="24"/>
              </w:rPr>
              <w:t>2242</w:t>
            </w:r>
            <w:r w:rsidRPr="00615936">
              <w:rPr>
                <w:szCs w:val="24"/>
              </w:rPr>
              <w:fldChar w:fldCharType="end"/>
            </w:r>
            <w:bookmarkEnd w:id="2"/>
          </w:p>
        </w:tc>
      </w:tr>
      <w:tr w:rsidR="002C22B9" w:rsidRPr="00615936" w14:paraId="038B6574" w14:textId="77777777" w:rsidTr="009F77B9">
        <w:trPr>
          <w:trHeight w:val="188"/>
        </w:trPr>
        <w:tc>
          <w:tcPr>
            <w:tcW w:w="450" w:type="dxa"/>
            <w:tcBorders>
              <w:top w:val="nil"/>
              <w:left w:val="nil"/>
              <w:bottom w:val="nil"/>
              <w:right w:val="nil"/>
            </w:tcBorders>
          </w:tcPr>
          <w:p w14:paraId="3210567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7D1A943"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1573241"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092FA2F6" w14:textId="77777777" w:rsidR="002C22B9" w:rsidRPr="00615936" w:rsidRDefault="002C22B9" w:rsidP="002C22B9">
            <w:pPr>
              <w:tabs>
                <w:tab w:val="left" w:pos="360"/>
                <w:tab w:val="left" w:pos="3960"/>
              </w:tabs>
              <w:rPr>
                <w:sz w:val="20"/>
              </w:rPr>
            </w:pPr>
          </w:p>
        </w:tc>
      </w:tr>
      <w:tr w:rsidR="002C22B9" w:rsidRPr="00615936" w14:paraId="1B6440CA" w14:textId="77777777" w:rsidTr="009F77B9">
        <w:tc>
          <w:tcPr>
            <w:tcW w:w="450" w:type="dxa"/>
            <w:tcBorders>
              <w:top w:val="nil"/>
              <w:left w:val="nil"/>
              <w:bottom w:val="nil"/>
              <w:right w:val="nil"/>
            </w:tcBorders>
          </w:tcPr>
          <w:p w14:paraId="15BFC6F5"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9405C7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150CB">
              <w:rPr>
                <w:szCs w:val="24"/>
              </w:rPr>
              <w:t>01.04.2021</w:t>
            </w:r>
            <w:r w:rsidRPr="00615936">
              <w:rPr>
                <w:szCs w:val="24"/>
              </w:rPr>
              <w:fldChar w:fldCharType="end"/>
            </w:r>
            <w:bookmarkEnd w:id="3"/>
          </w:p>
        </w:tc>
        <w:tc>
          <w:tcPr>
            <w:tcW w:w="708" w:type="dxa"/>
            <w:tcBorders>
              <w:top w:val="nil"/>
              <w:left w:val="nil"/>
              <w:bottom w:val="nil"/>
              <w:right w:val="nil"/>
            </w:tcBorders>
          </w:tcPr>
          <w:p w14:paraId="35290170"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0128F5A4"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150CB">
              <w:rPr>
                <w:szCs w:val="24"/>
              </w:rPr>
              <w:t>VSS-307, 13  3§</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208761FA" w14:textId="77777777" w:rsidTr="000C0DD4">
        <w:trPr>
          <w:jc w:val="right"/>
        </w:trPr>
        <w:tc>
          <w:tcPr>
            <w:tcW w:w="4644" w:type="dxa"/>
          </w:tcPr>
          <w:p w14:paraId="70163F4D" w14:textId="797C449E" w:rsidR="000C0DD4" w:rsidRDefault="00E150CB" w:rsidP="000C0DD4">
            <w:pPr>
              <w:jc w:val="right"/>
              <w:rPr>
                <w:b/>
                <w:bCs/>
                <w:szCs w:val="24"/>
                <w:lang w:eastAsia="lv-LV"/>
              </w:rPr>
            </w:pPr>
            <w:bookmarkStart w:id="5" w:name="org_nos"/>
            <w:r>
              <w:rPr>
                <w:b/>
                <w:bCs/>
                <w:szCs w:val="24"/>
                <w:lang w:eastAsia="lv-LV"/>
              </w:rPr>
              <w:t>Ekonomikas ministrija</w:t>
            </w:r>
            <w:r w:rsidR="00FE3681">
              <w:rPr>
                <w:b/>
                <w:bCs/>
                <w:szCs w:val="24"/>
                <w:lang w:eastAsia="lv-LV"/>
              </w:rPr>
              <w:t>i</w:t>
            </w:r>
          </w:p>
        </w:tc>
      </w:tr>
      <w:bookmarkEnd w:id="5"/>
    </w:tbl>
    <w:p w14:paraId="04C66C65"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6846E41C" w14:textId="77777777" w:rsidTr="000C0DD4">
        <w:tc>
          <w:tcPr>
            <w:tcW w:w="4503" w:type="dxa"/>
            <w:tcBorders>
              <w:top w:val="nil"/>
              <w:left w:val="nil"/>
              <w:bottom w:val="nil"/>
              <w:right w:val="nil"/>
            </w:tcBorders>
          </w:tcPr>
          <w:p w14:paraId="4B39177D" w14:textId="77777777" w:rsidR="000C0DD4" w:rsidRDefault="00E150CB" w:rsidP="00C04DED">
            <w:pPr>
              <w:jc w:val="left"/>
              <w:rPr>
                <w:i/>
                <w:iCs/>
                <w:szCs w:val="24"/>
                <w:lang w:eastAsia="lv-LV"/>
              </w:rPr>
            </w:pPr>
            <w:r>
              <w:rPr>
                <w:i/>
                <w:iCs/>
                <w:szCs w:val="24"/>
                <w:lang w:eastAsia="lv-LV"/>
              </w:rPr>
              <w:t>Par likumprojektu "Grozījumi Enerģētikas likumā"  VSS-307</w:t>
            </w:r>
          </w:p>
        </w:tc>
      </w:tr>
    </w:tbl>
    <w:p w14:paraId="02A9EDE0" w14:textId="77777777" w:rsidR="00E04F00" w:rsidRPr="00615936" w:rsidRDefault="00E04F00" w:rsidP="00C04DED">
      <w:pPr>
        <w:jc w:val="left"/>
        <w:rPr>
          <w:szCs w:val="24"/>
        </w:rPr>
      </w:pPr>
    </w:p>
    <w:p w14:paraId="1CCEB869" w14:textId="77777777" w:rsidR="00FE3681" w:rsidRPr="00371172" w:rsidRDefault="00FE3681" w:rsidP="00FE3681">
      <w:pPr>
        <w:tabs>
          <w:tab w:val="left" w:pos="851"/>
        </w:tabs>
        <w:ind w:firstLine="567"/>
        <w:rPr>
          <w:szCs w:val="24"/>
        </w:rPr>
      </w:pPr>
      <w:bookmarkStart w:id="6" w:name="_Hlk21073925"/>
      <w:r w:rsidRPr="00371172">
        <w:rPr>
          <w:szCs w:val="24"/>
        </w:rPr>
        <w:t xml:space="preserve">Finanšu ministrija savas kompetences ietvaros ir izskatījusi Ekonomikas ministrijas sagatavoto likumprojektu "Grozījumi Enerģētikas likumā" (turpmāk – Likumprojekts) tā sākotnējās ietekmes novērtējuma ziņojumu (anotāciju) un izsaka šādus iebildumus. </w:t>
      </w:r>
    </w:p>
    <w:p w14:paraId="41856478" w14:textId="6702058E" w:rsidR="00FE3681" w:rsidRPr="00371172" w:rsidRDefault="00FE3681" w:rsidP="00FE3681">
      <w:pPr>
        <w:pStyle w:val="ListParagraph"/>
        <w:numPr>
          <w:ilvl w:val="0"/>
          <w:numId w:val="1"/>
        </w:numPr>
        <w:tabs>
          <w:tab w:val="left" w:pos="851"/>
        </w:tabs>
        <w:ind w:left="0" w:firstLine="567"/>
        <w:contextualSpacing w:val="0"/>
        <w:jc w:val="both"/>
        <w:rPr>
          <w:rFonts w:ascii="Times New Roman" w:eastAsia="Times New Roman" w:hAnsi="Times New Roman" w:cs="Times New Roman"/>
          <w:sz w:val="24"/>
          <w:szCs w:val="24"/>
          <w:lang w:eastAsia="lv-LV"/>
        </w:rPr>
      </w:pPr>
      <w:r w:rsidRPr="00371172">
        <w:rPr>
          <w:rFonts w:ascii="Times New Roman" w:hAnsi="Times New Roman" w:cs="Times New Roman"/>
          <w:sz w:val="24"/>
          <w:szCs w:val="24"/>
        </w:rPr>
        <w:t xml:space="preserve">Likumprojekta 1.pants paredz Enerģētikas likuma (turpmāk – likums) 1.panta 1.punktā sniegt atbalsta shēmas definīciju, nosakot pienākumu, ka patērētās vai piegādātās enerģijas daļa ir atjaunojamā enerģija, un noteiktās prasības tai skaitā var izpildīt ar atbalstu investīcijām, atbrīvojumu no nodokļiem vai nodokļu samazināšanu, nodokļu atmaksu, zaļo sertifikātu izmantošanu, kā arī tiešo cenu atbalstu, tostarp regulētos tarifus un mainīgās vai fiksētās piemaksas. Lūdzam anotācijā skaidrot, vai ar Likumprojektā plānoto atbalsta shēmu tiek saprasts tikai atbalsts no atjaunojamās enerģijas un energoefektivitātes fonda līdzekļiem, vai arī tas var būt jebkāds komercdarbības atbalsts no publiskajiem līdzekļiem, t.sk. pašvaldību līdzekļiem, kā arī lūdzam attiecīgi precizēt Likumprojektā iekļauto definīciju. </w:t>
      </w:r>
    </w:p>
    <w:p w14:paraId="356C1EA5" w14:textId="539C0EF9" w:rsidR="00FE3681" w:rsidRPr="00371172" w:rsidRDefault="00FE3681" w:rsidP="00FE3681">
      <w:pPr>
        <w:pStyle w:val="ListParagraph"/>
        <w:numPr>
          <w:ilvl w:val="0"/>
          <w:numId w:val="1"/>
        </w:numPr>
        <w:tabs>
          <w:tab w:val="left" w:pos="851"/>
        </w:tabs>
        <w:ind w:left="0" w:firstLine="567"/>
        <w:contextualSpacing w:val="0"/>
        <w:jc w:val="both"/>
        <w:rPr>
          <w:rFonts w:ascii="Times New Roman" w:eastAsia="Times New Roman" w:hAnsi="Times New Roman" w:cs="Times New Roman"/>
          <w:sz w:val="24"/>
          <w:szCs w:val="24"/>
          <w:lang w:eastAsia="lv-LV"/>
        </w:rPr>
      </w:pPr>
      <w:r w:rsidRPr="00371172">
        <w:rPr>
          <w:rFonts w:ascii="Times New Roman" w:hAnsi="Times New Roman" w:cs="Times New Roman"/>
          <w:sz w:val="24"/>
          <w:szCs w:val="24"/>
        </w:rPr>
        <w:t xml:space="preserve">Ar Likumprojekta 1.pantu likums tiek papildināts ar 1.panta </w:t>
      </w:r>
      <w:r w:rsidRPr="00371172">
        <w:rPr>
          <w:rFonts w:ascii="Times New Roman" w:eastAsia="Times New Roman" w:hAnsi="Times New Roman" w:cs="Times New Roman"/>
          <w:sz w:val="24"/>
          <w:szCs w:val="24"/>
          <w:lang w:eastAsia="lv-LV"/>
        </w:rPr>
        <w:t>1.</w:t>
      </w:r>
      <w:r w:rsidRPr="00371172">
        <w:rPr>
          <w:rFonts w:ascii="Times New Roman" w:eastAsia="Times New Roman" w:hAnsi="Times New Roman" w:cs="Times New Roman"/>
          <w:sz w:val="24"/>
          <w:szCs w:val="24"/>
          <w:vertAlign w:val="superscript"/>
          <w:lang w:eastAsia="lv-LV"/>
        </w:rPr>
        <w:t>3</w:t>
      </w:r>
      <w:r w:rsidRPr="00371172">
        <w:rPr>
          <w:rFonts w:ascii="Times New Roman" w:eastAsia="Times New Roman" w:hAnsi="Times New Roman" w:cs="Times New Roman"/>
          <w:sz w:val="24"/>
          <w:szCs w:val="24"/>
          <w:lang w:eastAsia="lv-LV"/>
        </w:rPr>
        <w:t xml:space="preserve"> punktu. Uzskatām, ka 1.</w:t>
      </w:r>
      <w:r w:rsidRPr="00371172">
        <w:rPr>
          <w:rFonts w:ascii="Times New Roman" w:eastAsia="Times New Roman" w:hAnsi="Times New Roman" w:cs="Times New Roman"/>
          <w:sz w:val="24"/>
          <w:szCs w:val="24"/>
          <w:vertAlign w:val="superscript"/>
          <w:lang w:eastAsia="lv-LV"/>
        </w:rPr>
        <w:t>3</w:t>
      </w:r>
      <w:r w:rsidRPr="00371172">
        <w:rPr>
          <w:rFonts w:ascii="Times New Roman" w:eastAsia="Times New Roman" w:hAnsi="Times New Roman" w:cs="Times New Roman"/>
          <w:sz w:val="24"/>
          <w:szCs w:val="24"/>
          <w:lang w:eastAsia="lv-LV"/>
        </w:rPr>
        <w:t xml:space="preserve"> punktā ietvertajā atjaunojamo energoresursu definīcijā būtu nepieciešams svītrot saules enerģijai iekavās sniegto paskaidrojumu "un saules elektroenerģija". Šāds labojums ir nepieciešams, jo definīcija nosaka energoresursu, no kura tiek iegūta enerģija, nevis pašu enerģijas veidu, kas tiek iegūts no attiecīgā energoresursa.</w:t>
      </w:r>
    </w:p>
    <w:p w14:paraId="198E4C14" w14:textId="0DA39278" w:rsidR="007E5658" w:rsidRPr="007E5658" w:rsidRDefault="007E5658" w:rsidP="007E5658">
      <w:pPr>
        <w:pStyle w:val="ListParagraph"/>
        <w:numPr>
          <w:ilvl w:val="0"/>
          <w:numId w:val="1"/>
        </w:numPr>
        <w:tabs>
          <w:tab w:val="left" w:pos="851"/>
        </w:tabs>
        <w:ind w:left="0" w:firstLine="567"/>
        <w:contextualSpacing w:val="0"/>
        <w:jc w:val="both"/>
        <w:rPr>
          <w:rFonts w:ascii="Times New Roman" w:eastAsia="Times New Roman" w:hAnsi="Times New Roman" w:cs="Times New Roman"/>
          <w:sz w:val="24"/>
          <w:szCs w:val="24"/>
          <w:lang w:eastAsia="lv-LV"/>
        </w:rPr>
      </w:pPr>
      <w:r w:rsidRPr="007E5658">
        <w:rPr>
          <w:rFonts w:ascii="Times New Roman" w:hAnsi="Times New Roman" w:cs="Times New Roman"/>
          <w:sz w:val="24"/>
          <w:szCs w:val="24"/>
        </w:rPr>
        <w:t>Lūdzam precizēt Likumprojekta 1.panta 4</w:t>
      </w:r>
      <w:r w:rsidRPr="007E5658">
        <w:rPr>
          <w:rFonts w:ascii="Times New Roman" w:hAnsi="Times New Roman" w:cs="Times New Roman"/>
          <w:sz w:val="24"/>
          <w:szCs w:val="24"/>
          <w:vertAlign w:val="superscript"/>
        </w:rPr>
        <w:t>5</w:t>
      </w:r>
      <w:r w:rsidRPr="007E5658">
        <w:rPr>
          <w:rFonts w:ascii="Times New Roman" w:hAnsi="Times New Roman" w:cs="Times New Roman"/>
          <w:sz w:val="24"/>
          <w:szCs w:val="24"/>
        </w:rPr>
        <w:t>.punktā un 4</w:t>
      </w:r>
      <w:r w:rsidRPr="007E5658">
        <w:rPr>
          <w:rFonts w:ascii="Times New Roman" w:hAnsi="Times New Roman" w:cs="Times New Roman"/>
          <w:sz w:val="24"/>
          <w:szCs w:val="24"/>
          <w:vertAlign w:val="superscript"/>
        </w:rPr>
        <w:t>6</w:t>
      </w:r>
      <w:r w:rsidRPr="007E5658">
        <w:rPr>
          <w:rFonts w:ascii="Times New Roman" w:hAnsi="Times New Roman" w:cs="Times New Roman"/>
          <w:sz w:val="24"/>
          <w:szCs w:val="24"/>
        </w:rPr>
        <w:t xml:space="preserve">.punktā norādītos terminus “centralizētā </w:t>
      </w:r>
      <w:proofErr w:type="spellStart"/>
      <w:r w:rsidRPr="007E5658">
        <w:rPr>
          <w:rFonts w:ascii="Times New Roman" w:hAnsi="Times New Roman" w:cs="Times New Roman"/>
          <w:sz w:val="24"/>
          <w:szCs w:val="24"/>
        </w:rPr>
        <w:t>aukstumapgādes</w:t>
      </w:r>
      <w:proofErr w:type="spellEnd"/>
      <w:r w:rsidRPr="007E5658">
        <w:rPr>
          <w:rFonts w:ascii="Times New Roman" w:hAnsi="Times New Roman" w:cs="Times New Roman"/>
          <w:sz w:val="24"/>
          <w:szCs w:val="24"/>
        </w:rPr>
        <w:t xml:space="preserve"> sistēma” un “centralizētā siltumapgādes sistēma”.</w:t>
      </w:r>
    </w:p>
    <w:p w14:paraId="03094DC5" w14:textId="77777777" w:rsidR="007E5658" w:rsidRPr="007E5658" w:rsidRDefault="007E5658" w:rsidP="007E5658">
      <w:pPr>
        <w:pStyle w:val="Normal1"/>
        <w:tabs>
          <w:tab w:val="left" w:pos="567"/>
        </w:tabs>
        <w:spacing w:before="0" w:beforeAutospacing="0" w:after="0" w:afterAutospacing="0" w:line="276" w:lineRule="auto"/>
        <w:jc w:val="both"/>
      </w:pPr>
      <w:r w:rsidRPr="007E5658">
        <w:tab/>
        <w:t>Atbilstoši Eiropas Parlamenta un Padomes 2018. gada 11. decembra Direktīvai (ES) 2018/2001 par no atjaunojamajiem energoresursiem iegūtas enerģijas izmantošanas veicināšanu (turpmāk - Direktīva 2018/2001) 2.panta 19.punktam “</w:t>
      </w:r>
      <w:proofErr w:type="spellStart"/>
      <w:r w:rsidRPr="007E5658">
        <w:t>aukstumenerģijas</w:t>
      </w:r>
      <w:proofErr w:type="spellEnd"/>
      <w:r w:rsidRPr="007E5658">
        <w:t xml:space="preserve"> vai siltumenerģijas saņēmēju (lietotāju) kopums” nav siltumapgādes elements. </w:t>
      </w:r>
    </w:p>
    <w:p w14:paraId="4BBBFCA6" w14:textId="00602B43" w:rsidR="007E5658" w:rsidRPr="007E5658" w:rsidRDefault="007E5658" w:rsidP="007E5658">
      <w:pPr>
        <w:tabs>
          <w:tab w:val="left" w:pos="567"/>
        </w:tabs>
        <w:rPr>
          <w:rFonts w:eastAsiaTheme="minorHAnsi"/>
          <w:szCs w:val="24"/>
        </w:rPr>
      </w:pPr>
      <w:r>
        <w:tab/>
      </w:r>
      <w:r w:rsidRPr="007E5658">
        <w:t xml:space="preserve">Direktīvas 2018/2001 2.panta 19.punkts nosaka, ka “centralizēta siltumapgāde” jeb “centralizēta </w:t>
      </w:r>
      <w:proofErr w:type="spellStart"/>
      <w:r w:rsidRPr="007E5658">
        <w:t>aukstumapgāde</w:t>
      </w:r>
      <w:proofErr w:type="spellEnd"/>
      <w:r w:rsidRPr="007E5658">
        <w:t xml:space="preserve">” ir siltumenerģijas sadale tvaika, karsta ūdens vai atdzesētu šķidrumu veidā no centrālas ražotnes vai decentralizētām ražotnēm pa tīklu uz daudzām ēkām vai vietām, telpas vai procesu siltumapgādei vai </w:t>
      </w:r>
      <w:proofErr w:type="spellStart"/>
      <w:r w:rsidRPr="007E5658">
        <w:t>aukstumapgādei</w:t>
      </w:r>
      <w:proofErr w:type="spellEnd"/>
      <w:r w:rsidRPr="007E5658">
        <w:t>.</w:t>
      </w:r>
    </w:p>
    <w:p w14:paraId="2F8D77C6" w14:textId="68421F69" w:rsidR="00FE3681" w:rsidRPr="00371172" w:rsidRDefault="00FE3681" w:rsidP="00FE3681">
      <w:pPr>
        <w:pStyle w:val="ListParagraph"/>
        <w:numPr>
          <w:ilvl w:val="0"/>
          <w:numId w:val="1"/>
        </w:numPr>
        <w:tabs>
          <w:tab w:val="left" w:pos="851"/>
        </w:tabs>
        <w:ind w:left="0" w:firstLine="567"/>
        <w:jc w:val="both"/>
        <w:rPr>
          <w:rFonts w:ascii="Times New Roman" w:hAnsi="Times New Roman" w:cs="Times New Roman"/>
          <w:sz w:val="24"/>
          <w:szCs w:val="24"/>
        </w:rPr>
      </w:pPr>
      <w:r w:rsidRPr="00371172">
        <w:rPr>
          <w:rFonts w:ascii="Times New Roman" w:hAnsi="Times New Roman" w:cs="Times New Roman"/>
          <w:sz w:val="24"/>
          <w:szCs w:val="24"/>
        </w:rPr>
        <w:t>Atbilstoši Likumprojekta 1.pantā paredzētajai likuma 1.panta 2.punkta 9</w:t>
      </w:r>
      <w:r w:rsidRPr="00371172">
        <w:rPr>
          <w:rFonts w:ascii="Times New Roman" w:hAnsi="Times New Roman" w:cs="Times New Roman"/>
          <w:sz w:val="24"/>
          <w:szCs w:val="24"/>
          <w:vertAlign w:val="superscript"/>
        </w:rPr>
        <w:t>2</w:t>
      </w:r>
      <w:r w:rsidRPr="00371172">
        <w:rPr>
          <w:rFonts w:ascii="Times New Roman" w:hAnsi="Times New Roman" w:cs="Times New Roman"/>
          <w:sz w:val="24"/>
          <w:szCs w:val="24"/>
        </w:rPr>
        <w:t xml:space="preserve">) apakšpunktā ietvertajai </w:t>
      </w:r>
      <w:proofErr w:type="spellStart"/>
      <w:r w:rsidRPr="00371172">
        <w:rPr>
          <w:rFonts w:ascii="Times New Roman" w:hAnsi="Times New Roman" w:cs="Times New Roman"/>
          <w:sz w:val="24"/>
          <w:szCs w:val="24"/>
        </w:rPr>
        <w:t>energokopienas</w:t>
      </w:r>
      <w:proofErr w:type="spellEnd"/>
      <w:r w:rsidRPr="00371172">
        <w:rPr>
          <w:rFonts w:ascii="Times New Roman" w:hAnsi="Times New Roman" w:cs="Times New Roman"/>
          <w:sz w:val="24"/>
          <w:szCs w:val="24"/>
        </w:rPr>
        <w:t xml:space="preserve"> definīcijai secināms, ka lielākā daļa šo juridisko personu ir saimnieciskās darbības veicēji, kas darbojas enerģijas, tai skaitā no atjaunojamiem energoresursiem ražošanā, tirdzniecībā, elektroenerģijas kopīgošanā, patēriņā, pieprasījumu reakcijas pakalpojumu nodrošināšanā, energoresursu uzglabāšanā, elektrisko transportlīdzekļu </w:t>
      </w:r>
      <w:r w:rsidRPr="00371172">
        <w:rPr>
          <w:rFonts w:ascii="Times New Roman" w:hAnsi="Times New Roman" w:cs="Times New Roman"/>
          <w:sz w:val="24"/>
          <w:szCs w:val="24"/>
        </w:rPr>
        <w:lastRenderedPageBreak/>
        <w:t>uzlādes pakalpojumu sniegšanā, energoefektivitātes vai citu energopakalpojumu sniegšanā, attiecīgi sniedzot atbalstu (piemēram, piešķirot valsts vai pašvaldību līdzekļus vai jebkādus atvieglojumus, salīdzinot ar citiem komersantiem), tas jāvērtē atbilstoši komercdarbības atbalsta normām un nepieciešamības gadījumā jāpiemēro komercdarbības atbalsta regulējums, lai nodrošinātu atbalsta saderību ar Eiropas Savienības iekšējo tirgu. Līdz ar to lūdzam papildināt Likumprojekta  11.pantā ietvertās likuma II</w:t>
      </w:r>
      <w:r w:rsidRPr="00371172">
        <w:rPr>
          <w:rFonts w:ascii="Times New Roman" w:hAnsi="Times New Roman" w:cs="Times New Roman"/>
          <w:sz w:val="24"/>
          <w:szCs w:val="24"/>
          <w:vertAlign w:val="superscript"/>
        </w:rPr>
        <w:t>1</w:t>
      </w:r>
      <w:r w:rsidRPr="00371172">
        <w:rPr>
          <w:rFonts w:ascii="Times New Roman" w:hAnsi="Times New Roman" w:cs="Times New Roman"/>
          <w:sz w:val="24"/>
          <w:szCs w:val="24"/>
        </w:rPr>
        <w:t xml:space="preserve"> nodaļas 17.</w:t>
      </w:r>
      <w:r w:rsidRPr="00371172">
        <w:rPr>
          <w:rFonts w:ascii="Times New Roman" w:hAnsi="Times New Roman" w:cs="Times New Roman"/>
          <w:sz w:val="24"/>
          <w:szCs w:val="24"/>
          <w:vertAlign w:val="superscript"/>
        </w:rPr>
        <w:t>2</w:t>
      </w:r>
      <w:r w:rsidRPr="00371172">
        <w:rPr>
          <w:rFonts w:ascii="Times New Roman" w:hAnsi="Times New Roman" w:cs="Times New Roman"/>
          <w:sz w:val="24"/>
          <w:szCs w:val="24"/>
        </w:rPr>
        <w:t xml:space="preserve"> panta (4) daļu, piemēram, ar vārdiem “</w:t>
      </w:r>
      <w:r w:rsidRPr="00371172">
        <w:rPr>
          <w:rFonts w:ascii="Times New Roman" w:hAnsi="Times New Roman" w:cs="Times New Roman"/>
          <w:i/>
          <w:iCs/>
          <w:sz w:val="24"/>
          <w:szCs w:val="24"/>
        </w:rPr>
        <w:t>un ievērojot komercdarbības atbalsta normas</w:t>
      </w:r>
      <w:r w:rsidRPr="00371172">
        <w:rPr>
          <w:rFonts w:ascii="Times New Roman" w:hAnsi="Times New Roman" w:cs="Times New Roman"/>
          <w:sz w:val="24"/>
          <w:szCs w:val="24"/>
        </w:rPr>
        <w:t>”.</w:t>
      </w:r>
    </w:p>
    <w:p w14:paraId="6138A591" w14:textId="29809CF3" w:rsidR="00FE3681" w:rsidRPr="00371172" w:rsidRDefault="00FE3681" w:rsidP="00FE3681">
      <w:pPr>
        <w:pStyle w:val="ListParagraph"/>
        <w:numPr>
          <w:ilvl w:val="0"/>
          <w:numId w:val="1"/>
        </w:numPr>
        <w:tabs>
          <w:tab w:val="left" w:pos="851"/>
        </w:tabs>
        <w:ind w:left="0" w:firstLine="567"/>
        <w:contextualSpacing w:val="0"/>
        <w:jc w:val="both"/>
        <w:rPr>
          <w:rFonts w:ascii="Times New Roman" w:hAnsi="Times New Roman" w:cs="Times New Roman"/>
          <w:sz w:val="24"/>
          <w:szCs w:val="24"/>
        </w:rPr>
      </w:pPr>
      <w:r w:rsidRPr="00371172">
        <w:rPr>
          <w:rFonts w:ascii="Times New Roman" w:hAnsi="Times New Roman" w:cs="Times New Roman"/>
          <w:sz w:val="24"/>
          <w:szCs w:val="24"/>
        </w:rPr>
        <w:t>Ar Likumprojekta 1. pantu likuma 1.panta 12. punkts tiek izteikts jaunā redakcijā. Uzskatām, ka minētajā punktā norādot, ka enerģijas lietotājs patērē enerģiju, bet</w:t>
      </w:r>
      <w:r w:rsidR="00166276">
        <w:rPr>
          <w:rFonts w:ascii="Times New Roman" w:hAnsi="Times New Roman" w:cs="Times New Roman"/>
          <w:sz w:val="24"/>
          <w:szCs w:val="24"/>
        </w:rPr>
        <w:t>,</w:t>
      </w:r>
      <w:r w:rsidRPr="00371172">
        <w:rPr>
          <w:rFonts w:ascii="Times New Roman" w:hAnsi="Times New Roman" w:cs="Times New Roman"/>
          <w:sz w:val="24"/>
          <w:szCs w:val="24"/>
        </w:rPr>
        <w:t xml:space="preserve"> nenorādot šīs enerģijas ieguves veidu, var secināt, ka enerģijas lietotājs var ražot un patērēt enerģiju, kas attiecīgi būtu pretrunā ar Elektroenerģijas tirgus likumā ietverto elektroenerģijas ražotāja definīciju. Elektroenerģijas pirkšana ir būtiska pazīme, kas atšķir enerģijas lietotāju no ražotāja, jo enerģijas lietotājs nevar iegūt elektroenerģiju citā veidā kā to nopērkot, turpretim, lietotājs, kas elektroenerģiju ražo, ir elektroenerģijas ražotājs.</w:t>
      </w:r>
      <w:bookmarkStart w:id="7" w:name="_Hlk69726801"/>
      <w:r w:rsidRPr="00371172">
        <w:rPr>
          <w:rFonts w:ascii="Times New Roman" w:eastAsia="Times New Roman" w:hAnsi="Times New Roman" w:cs="Times New Roman"/>
          <w:sz w:val="24"/>
          <w:szCs w:val="24"/>
          <w:lang w:eastAsia="lv-LV"/>
        </w:rPr>
        <w:t xml:space="preserve"> </w:t>
      </w:r>
      <w:bookmarkEnd w:id="7"/>
    </w:p>
    <w:p w14:paraId="5534A62F" w14:textId="77777777" w:rsidR="00FE3681" w:rsidRPr="00371172" w:rsidRDefault="00FE3681" w:rsidP="00FE3681">
      <w:pPr>
        <w:pStyle w:val="ListParagraph"/>
        <w:numPr>
          <w:ilvl w:val="0"/>
          <w:numId w:val="1"/>
        </w:numPr>
        <w:tabs>
          <w:tab w:val="left" w:pos="851"/>
        </w:tabs>
        <w:ind w:left="0" w:firstLine="567"/>
        <w:jc w:val="both"/>
        <w:rPr>
          <w:rFonts w:ascii="Times New Roman" w:eastAsia="Times New Roman" w:hAnsi="Times New Roman" w:cs="Times New Roman"/>
          <w:sz w:val="24"/>
          <w:szCs w:val="24"/>
          <w:lang w:eastAsia="lv-LV"/>
        </w:rPr>
      </w:pPr>
      <w:r w:rsidRPr="00371172">
        <w:rPr>
          <w:rFonts w:ascii="Times New Roman" w:eastAsia="Times New Roman" w:hAnsi="Times New Roman" w:cs="Times New Roman"/>
          <w:sz w:val="24"/>
          <w:szCs w:val="24"/>
          <w:lang w:eastAsia="lv-LV"/>
        </w:rPr>
        <w:t>Likumprojekta 1.panta 13.punktā “enerģijas pārvade” un šī paša panta 15.punktā “enerģijas sadale” lietotie termini attiecas tikai uz dabasgāzes tīkliem.</w:t>
      </w:r>
    </w:p>
    <w:p w14:paraId="5FD8323D" w14:textId="3AAF9C46" w:rsidR="00FE3681" w:rsidRPr="00371172" w:rsidRDefault="00FE3681" w:rsidP="00FE3681">
      <w:pPr>
        <w:tabs>
          <w:tab w:val="left" w:pos="567"/>
        </w:tabs>
        <w:ind w:firstLine="567"/>
        <w:rPr>
          <w:szCs w:val="24"/>
          <w:lang w:eastAsia="lv-LV"/>
        </w:rPr>
      </w:pPr>
      <w:r w:rsidRPr="00371172">
        <w:rPr>
          <w:szCs w:val="24"/>
          <w:lang w:eastAsia="lv-LV"/>
        </w:rPr>
        <w:tab/>
        <w:t>Ievērojot minēto, lūdzam Likumprojekta 1.panta 13.punktā vārdus “enerģijas pārvade” aizstāt ar vārdiem “dabasgāzes pārvade”. Tāpat lūdzam Likumprojekta 1.panta 15.punktā vārdus “enerģijas sadale” aizstāt ar vārdiem “dabasgāzes sadale”.</w:t>
      </w:r>
    </w:p>
    <w:p w14:paraId="040C2DD9" w14:textId="77777777" w:rsidR="00FE3681" w:rsidRPr="00371172" w:rsidRDefault="00FE3681" w:rsidP="00FE3681">
      <w:pPr>
        <w:pStyle w:val="ListParagraph"/>
        <w:numPr>
          <w:ilvl w:val="0"/>
          <w:numId w:val="1"/>
        </w:numPr>
        <w:tabs>
          <w:tab w:val="left" w:pos="851"/>
        </w:tabs>
        <w:ind w:left="0" w:firstLine="567"/>
        <w:contextualSpacing w:val="0"/>
        <w:jc w:val="both"/>
        <w:rPr>
          <w:rFonts w:ascii="Times New Roman" w:eastAsia="Times New Roman" w:hAnsi="Times New Roman" w:cs="Times New Roman"/>
          <w:sz w:val="24"/>
          <w:szCs w:val="24"/>
          <w:lang w:eastAsia="lv-LV"/>
        </w:rPr>
      </w:pPr>
      <w:r w:rsidRPr="00371172">
        <w:rPr>
          <w:rFonts w:ascii="Times New Roman" w:eastAsia="Times New Roman" w:hAnsi="Times New Roman" w:cs="Times New Roman"/>
          <w:sz w:val="24"/>
          <w:szCs w:val="24"/>
        </w:rPr>
        <w:t xml:space="preserve">Likumprojekta anotācijā norādīts, ka nepieciešams </w:t>
      </w:r>
      <w:r w:rsidRPr="00371172">
        <w:rPr>
          <w:rFonts w:ascii="Times New Roman" w:eastAsia="Times New Roman" w:hAnsi="Times New Roman" w:cs="Times New Roman"/>
          <w:sz w:val="24"/>
          <w:szCs w:val="24"/>
          <w:lang w:val="lv"/>
        </w:rPr>
        <w:t>nodrošināt, ka dabasgāzes tirgotājam, kas pārdod dabasgāzi tirgotājiem (vairumtirdzniecība) vai galalietotājiem (mazumtirdzniecība) ir jāievēro vienāds normatīvajos aktos noteiktais pienākumu kopums. Norādām, ka nav minēts, kādēļ vairumtirdzniecības regulējumu nepieciešams salāgot ar mazumtirdzniecības regulējumu. Piemēram, šobrīd komersantam ir pienākums reģistrēties dabasgāzes tirgotāju reģistrā, ja komersants nodarbojas ar dabasgāzes tirdzniecību galalietotājiem Latvijas Republikas teritorijā un komersants tirgo (iepērk pārdošanai un pārdod) dabasgāzi virtuālajā tirdzniecības punktā vai Inčukalna pazemes gāzes krātuvē gadījumos, kad darījuma otra puse ir Latvijas Republikā reģistrēts tirgotājs un darījuma vieta ir norādīta Latvijas Republikas teritorija.</w:t>
      </w:r>
    </w:p>
    <w:p w14:paraId="62478F95" w14:textId="77777777" w:rsidR="00FE3681" w:rsidRPr="00371172" w:rsidRDefault="00FE3681" w:rsidP="00FE3681">
      <w:pPr>
        <w:tabs>
          <w:tab w:val="left" w:pos="851"/>
        </w:tabs>
        <w:ind w:firstLine="567"/>
        <w:rPr>
          <w:szCs w:val="24"/>
          <w:lang w:val="lv"/>
        </w:rPr>
      </w:pPr>
      <w:r w:rsidRPr="00371172">
        <w:rPr>
          <w:szCs w:val="24"/>
          <w:lang w:val="lv"/>
        </w:rPr>
        <w:t xml:space="preserve">Vēršam uzmanību, ka darījumu, kuriem ir </w:t>
      </w:r>
      <w:proofErr w:type="spellStart"/>
      <w:r w:rsidRPr="00371172">
        <w:rPr>
          <w:szCs w:val="24"/>
          <w:lang w:val="lv"/>
        </w:rPr>
        <w:t>vairumtirgus</w:t>
      </w:r>
      <w:proofErr w:type="spellEnd"/>
      <w:r w:rsidRPr="00371172">
        <w:rPr>
          <w:szCs w:val="24"/>
          <w:lang w:val="lv"/>
        </w:rPr>
        <w:t xml:space="preserve"> raksturs, aplikšana ar regulācijas nodevu ir neproporcionāla. Enerģijas nodošana starp sistēmas lietotājiem virtuālajā tirdzniecības punktā var tikt uzskatīta par darījumu, bet ne visos gadījumos par enerģijas tirdzniecību. </w:t>
      </w:r>
    </w:p>
    <w:p w14:paraId="6E5C3858" w14:textId="77777777" w:rsidR="00FE3681" w:rsidRPr="00371172" w:rsidRDefault="00FE3681" w:rsidP="00FE3681">
      <w:pPr>
        <w:tabs>
          <w:tab w:val="left" w:pos="851"/>
        </w:tabs>
        <w:ind w:firstLine="567"/>
        <w:rPr>
          <w:szCs w:val="24"/>
        </w:rPr>
      </w:pPr>
      <w:r w:rsidRPr="00371172">
        <w:rPr>
          <w:szCs w:val="24"/>
          <w:lang w:val="lv"/>
        </w:rPr>
        <w:t xml:space="preserve">Pienākums pārvades sistēmas lietotājam reģistrēties dabasgāzes tirgotāju reģistrā uzliek automātisku regulācijas nodevas maksāšanas pienākumu abām </w:t>
      </w:r>
      <w:proofErr w:type="spellStart"/>
      <w:r w:rsidRPr="00371172">
        <w:rPr>
          <w:szCs w:val="24"/>
          <w:lang w:val="lv"/>
        </w:rPr>
        <w:t>vairumtirgus</w:t>
      </w:r>
      <w:proofErr w:type="spellEnd"/>
      <w:r w:rsidRPr="00371172">
        <w:rPr>
          <w:szCs w:val="24"/>
          <w:lang w:val="lv"/>
        </w:rPr>
        <w:t xml:space="preserve"> dalībnieku darījuma pusēm. Šāds </w:t>
      </w:r>
      <w:proofErr w:type="spellStart"/>
      <w:r w:rsidRPr="00371172">
        <w:rPr>
          <w:szCs w:val="24"/>
          <w:lang w:val="lv"/>
        </w:rPr>
        <w:t>vairumtirgus</w:t>
      </w:r>
      <w:proofErr w:type="spellEnd"/>
      <w:r w:rsidRPr="00371172">
        <w:rPr>
          <w:szCs w:val="24"/>
          <w:lang w:val="lv"/>
        </w:rPr>
        <w:t xml:space="preserve"> līmeņa papildu maksājums, kas atsevišķos gadījumos var pat pārsniegt darījuma peļņu, potenciāli var kavēt reģionālā gāzes tirgus attīstību, jo kalpo par barjeru piekļuvei enerģijas </w:t>
      </w:r>
      <w:proofErr w:type="spellStart"/>
      <w:r w:rsidRPr="00371172">
        <w:rPr>
          <w:szCs w:val="24"/>
          <w:lang w:val="lv"/>
        </w:rPr>
        <w:t>vairumtirgum</w:t>
      </w:r>
      <w:proofErr w:type="spellEnd"/>
      <w:r w:rsidRPr="00371172">
        <w:rPr>
          <w:szCs w:val="24"/>
          <w:lang w:val="lv"/>
        </w:rPr>
        <w:t xml:space="preserve"> un mazinās tirgus likviditāti, jo tirgus dalībnieki centīsies pēc iespējas mazināt darījumus </w:t>
      </w:r>
      <w:proofErr w:type="spellStart"/>
      <w:r w:rsidRPr="00371172">
        <w:rPr>
          <w:szCs w:val="24"/>
          <w:lang w:val="lv"/>
        </w:rPr>
        <w:t>vairumtirgū</w:t>
      </w:r>
      <w:proofErr w:type="spellEnd"/>
      <w:r w:rsidRPr="00371172">
        <w:rPr>
          <w:szCs w:val="24"/>
          <w:lang w:val="lv"/>
        </w:rPr>
        <w:t>, turklāt vairumtirdzniecības un mazumtirdzniecības regulējuma salāgošanas gadījumā tiktu mākslīgi izsaukts gāzes cenas pieaugums un papildu regulatīvā sloga dēļ tirgus dalībnieki var izvēlēties veikt savstarpējos darījumus ārpus Igaunijas-Latvijas tirgus zonas.</w:t>
      </w:r>
      <w:r w:rsidRPr="00371172">
        <w:rPr>
          <w:szCs w:val="24"/>
        </w:rPr>
        <w:t xml:space="preserve"> </w:t>
      </w:r>
    </w:p>
    <w:p w14:paraId="62EA736A" w14:textId="07893FBE" w:rsidR="00FE3681" w:rsidRPr="00371172" w:rsidRDefault="00FE3681" w:rsidP="00FE3681">
      <w:pPr>
        <w:tabs>
          <w:tab w:val="left" w:pos="851"/>
        </w:tabs>
        <w:ind w:firstLine="567"/>
        <w:rPr>
          <w:szCs w:val="24"/>
          <w:lang w:val="lv"/>
        </w:rPr>
      </w:pPr>
      <w:r w:rsidRPr="00371172">
        <w:rPr>
          <w:szCs w:val="24"/>
          <w:lang w:val="lv"/>
        </w:rPr>
        <w:t>Lūdzam Likumprojekta anotācijā norādīt, ka ar Likumprojektu tiek nodrošināta skaidrojošu definīciju ieviešana par enerģijas tirdzniecību, tostarp, vairumtirdzniecību un mazumtirdzniecību ar mērķi novērst dubultu nodevu maksāšanu.</w:t>
      </w:r>
    </w:p>
    <w:p w14:paraId="575A95A1" w14:textId="375F0F33" w:rsidR="00FE3681" w:rsidRPr="00371172" w:rsidRDefault="00FE3681" w:rsidP="00FE3681">
      <w:pPr>
        <w:tabs>
          <w:tab w:val="left" w:pos="851"/>
        </w:tabs>
        <w:ind w:firstLine="567"/>
        <w:rPr>
          <w:szCs w:val="24"/>
          <w:lang w:eastAsia="lv-LV"/>
        </w:rPr>
      </w:pPr>
      <w:r w:rsidRPr="00371172">
        <w:rPr>
          <w:szCs w:val="24"/>
          <w:lang w:eastAsia="lv-LV"/>
        </w:rPr>
        <w:t xml:space="preserve">8. Lūdzam precizēt Likumprojekta 1.panta 45.punktā un 46.punktā norādītos terminus “centralizētā </w:t>
      </w:r>
      <w:proofErr w:type="spellStart"/>
      <w:r w:rsidRPr="00371172">
        <w:rPr>
          <w:szCs w:val="24"/>
          <w:lang w:eastAsia="lv-LV"/>
        </w:rPr>
        <w:t>aukstumapgādes</w:t>
      </w:r>
      <w:proofErr w:type="spellEnd"/>
      <w:r w:rsidRPr="00371172">
        <w:rPr>
          <w:szCs w:val="24"/>
          <w:lang w:eastAsia="lv-LV"/>
        </w:rPr>
        <w:t xml:space="preserve"> sistēma” un “centralizētā siltumapgādes sistēma”. </w:t>
      </w:r>
    </w:p>
    <w:p w14:paraId="492B1F73" w14:textId="54D6F3B0" w:rsidR="00FE3681" w:rsidRPr="00371172" w:rsidRDefault="00FE3681" w:rsidP="00FE3681">
      <w:pPr>
        <w:tabs>
          <w:tab w:val="left" w:pos="851"/>
        </w:tabs>
        <w:ind w:firstLine="567"/>
        <w:rPr>
          <w:szCs w:val="24"/>
          <w:lang w:eastAsia="lv-LV"/>
        </w:rPr>
      </w:pPr>
      <w:r w:rsidRPr="00371172">
        <w:rPr>
          <w:szCs w:val="24"/>
          <w:lang w:eastAsia="lv-LV"/>
        </w:rPr>
        <w:t>Atbilstoši Eiropas Parlamenta un Padomes 2018.gada 11.decembra Direktīvai (ES) 2018/2001 par no atjaunojamajiem energoresursiem iegūtas enerģijas izmantošanas veicināšanu (turpmāk – Direktīva 2018/2001) 2.panta 19.punktam “</w:t>
      </w:r>
      <w:proofErr w:type="spellStart"/>
      <w:r w:rsidRPr="00371172">
        <w:rPr>
          <w:szCs w:val="24"/>
          <w:lang w:eastAsia="lv-LV"/>
        </w:rPr>
        <w:t>aukstumenerģijas</w:t>
      </w:r>
      <w:proofErr w:type="spellEnd"/>
      <w:r w:rsidRPr="00371172">
        <w:rPr>
          <w:szCs w:val="24"/>
          <w:lang w:eastAsia="lv-LV"/>
        </w:rPr>
        <w:t xml:space="preserve"> vai siltumenerģijas saņēmēju (lietotāju) kopums” nav siltumapgādes elements. </w:t>
      </w:r>
    </w:p>
    <w:p w14:paraId="16625014" w14:textId="554F90CF" w:rsidR="00FE3681" w:rsidRPr="00371172" w:rsidRDefault="00FE3681" w:rsidP="00FE3681">
      <w:pPr>
        <w:tabs>
          <w:tab w:val="left" w:pos="851"/>
        </w:tabs>
        <w:ind w:firstLine="567"/>
        <w:rPr>
          <w:szCs w:val="24"/>
        </w:rPr>
      </w:pPr>
      <w:r w:rsidRPr="00371172">
        <w:rPr>
          <w:szCs w:val="24"/>
          <w:lang w:eastAsia="lv-LV"/>
        </w:rPr>
        <w:t xml:space="preserve">9. </w:t>
      </w:r>
      <w:r w:rsidRPr="00371172">
        <w:rPr>
          <w:szCs w:val="24"/>
        </w:rPr>
        <w:t xml:space="preserve">Likumprojekta 2.pants, kas izsaka likuma 2.pantu jaunā redakcijā, paredz, ka šī likuma normas, kas attiecas uz dabasgāzi, nediskriminējošā veidā tiek attiecinātas arī uz </w:t>
      </w:r>
      <w:proofErr w:type="spellStart"/>
      <w:r w:rsidRPr="00371172">
        <w:rPr>
          <w:szCs w:val="24"/>
        </w:rPr>
        <w:t>biometānu</w:t>
      </w:r>
      <w:proofErr w:type="spellEnd"/>
      <w:r w:rsidRPr="00371172">
        <w:rPr>
          <w:szCs w:val="24"/>
        </w:rPr>
        <w:t xml:space="preserve">, ūdeņradi un citu veidu gāzi, ciktāl attiecīgā veida gāzi var tehniski un droši ievadīt un transportēt Latvijas dabasgāzes pārvades sistēmā, sadales sistēmā vai uzglabāt dabasgāzes krātuvēs. Lūdzam </w:t>
      </w:r>
      <w:r w:rsidRPr="00371172">
        <w:rPr>
          <w:szCs w:val="24"/>
        </w:rPr>
        <w:lastRenderedPageBreak/>
        <w:t xml:space="preserve">skaidrot, kā tiek plānots tehniski transportēt ūdeņradi izmantojot esošo dabasgāzes pārvades sistēmu, ja nav pieļaujama dabasgāzes (metāna) un sajaukšanās ar ūdeņradi, ņemot vērā to dažās ķīmiski fizikālās īpašības un atšķirīgos sadegšanas siltumspējas rādītājus, kas varētu ietekmēt galalietotāju uzstādītas tehnoloģiskās iekārtas. Dabasgāzes pārvades sistēmas cauruļvadus var izmantot dabasgāzes vai dabasgāzes un </w:t>
      </w:r>
      <w:proofErr w:type="spellStart"/>
      <w:r w:rsidRPr="00371172">
        <w:rPr>
          <w:szCs w:val="24"/>
        </w:rPr>
        <w:t>biometāna</w:t>
      </w:r>
      <w:proofErr w:type="spellEnd"/>
      <w:r w:rsidRPr="00371172">
        <w:rPr>
          <w:szCs w:val="24"/>
        </w:rPr>
        <w:t xml:space="preserve"> transportēšanai vai tikai ūdeņraža transportēšanai. Līdz ar to, ja tiek ar Likumprojektu pieļauta ūdeņraža transportēšana pa dabasgāzes pārvades sistēmas cauruļvadiem, tad vienlaicīgi pa to nav iespējama dabasgāzes vai dabasgāzes un </w:t>
      </w:r>
      <w:proofErr w:type="spellStart"/>
      <w:r w:rsidRPr="00371172">
        <w:rPr>
          <w:szCs w:val="24"/>
        </w:rPr>
        <w:t>biometāna</w:t>
      </w:r>
      <w:proofErr w:type="spellEnd"/>
      <w:r w:rsidRPr="00371172">
        <w:rPr>
          <w:szCs w:val="24"/>
        </w:rPr>
        <w:t xml:space="preserve"> maisījuma pārvade. </w:t>
      </w:r>
    </w:p>
    <w:p w14:paraId="54A6C5D0" w14:textId="68734849" w:rsidR="00FE3681" w:rsidRPr="00371172" w:rsidRDefault="00FE3681" w:rsidP="00FE3681">
      <w:pPr>
        <w:tabs>
          <w:tab w:val="left" w:pos="851"/>
        </w:tabs>
        <w:ind w:firstLine="567"/>
        <w:rPr>
          <w:szCs w:val="24"/>
        </w:rPr>
      </w:pPr>
      <w:r w:rsidRPr="00371172">
        <w:rPr>
          <w:szCs w:val="24"/>
        </w:rPr>
        <w:t>10. No likuma paredzēts izslēgt 15. panta 1.1 daļu, kas noteic “(11) Sistēmas operatori sniedz pārvades, sadales un dabasgāzes uzglabāšanas pakalpojumus par regulatora noteiktajiem tarifiem vai par tarifiem, ko noteicis attiecīgais pakalpojumu sniedzējs saskaņā ar regulatora noteikto tarifu aprēķināšanas metodiku, ja ir saņemta regulatora atļauja. Sadales, pārvades un uzglabāšanas pakalpojumu tarifus pirms to stāšanās spēkā publicē regulatora noteiktajā kārtībā.” Piedāvātās izmaiņas nozīmē, ka tiek svītrotas pakalpojuma sniedzēja tiesības pašam noteikt tarifus gadījumos, kad ir saņemta regulatora atļauja. Šāds regulējums joprojām ir saglabāts, piemēram, Elektroenerģijas tirgus likuma 16.panta  pirmajā daļā, līdz ar to  neredzam nepieciešamību to svītrot no likuma.</w:t>
      </w:r>
    </w:p>
    <w:p w14:paraId="1CFF9F65" w14:textId="29A918B9" w:rsidR="00FE3681" w:rsidRPr="00371172" w:rsidRDefault="00FE3681" w:rsidP="00FE3681">
      <w:pPr>
        <w:tabs>
          <w:tab w:val="left" w:pos="851"/>
        </w:tabs>
        <w:ind w:firstLine="567"/>
        <w:rPr>
          <w:szCs w:val="24"/>
        </w:rPr>
      </w:pPr>
      <w:r w:rsidRPr="00371172">
        <w:rPr>
          <w:szCs w:val="24"/>
        </w:rPr>
        <w:t>11. Likumprojekta 24.pantā ietvertās likuma X1 nodaļas 58.</w:t>
      </w:r>
      <w:r w:rsidRPr="00371172">
        <w:rPr>
          <w:szCs w:val="24"/>
          <w:vertAlign w:val="superscript"/>
        </w:rPr>
        <w:t>4</w:t>
      </w:r>
      <w:r w:rsidRPr="00371172">
        <w:rPr>
          <w:szCs w:val="24"/>
        </w:rPr>
        <w:t xml:space="preserve"> panta (1) daļas 2) apakšpunkts piemin tiesības saņemt finansiālo atbalstu par biodegvielu, bioloģisko šķidro kurināmo, biomasa kurināmo un biomasas degvielu patēriņu. Vienlaikus arī šī panta (9) daļa nosaka, ka masas bilances sistēmas izmantošanai visā piegādes ķēdē ir jānodrošina informācijas nodošana par šā panta otrajā daļā minēto kurināmo atbilstību ilgtspējības kritērijiem un tajā ir jābūt iekļautai informācijai par to, vai sūtījuma ražošanai ir ticis sniegts atbalsts, un, ja tā ir, atbalsta shēmas tips. No Likumprojektā iekļautās informācijas nav skaidrs, vai finansiālais atbalsts par biodegvielu, bioloģisko šķidro kurināmo, biomasa kurināmo un biomasas degvielu patēriņu, tiks sniegts izvērtējot tā atbilstību komercdarbības atbalsta nosacījumiem un kas saprotams ar atbalsta shēmas tipu. Attiecīgi lūdzam precizēt Likumprojektu, vienlaikus, ja nepieciešams, nosakot deleģējumu Ministru kabinetam noteikt kārtību šāda atbalsta piešķiršanai, kā arī attiecīgi papildināt anotāciju.</w:t>
      </w:r>
      <w:r w:rsidRPr="00DA266A">
        <w:rPr>
          <w:szCs w:val="24"/>
        </w:rPr>
        <w:t xml:space="preserve"> </w:t>
      </w:r>
    </w:p>
    <w:p w14:paraId="1592AF93" w14:textId="4611E0FB" w:rsidR="00FE3681" w:rsidRPr="00371172" w:rsidRDefault="00FE3681" w:rsidP="00FE3681">
      <w:pPr>
        <w:tabs>
          <w:tab w:val="left" w:pos="851"/>
        </w:tabs>
        <w:ind w:firstLine="567"/>
        <w:rPr>
          <w:szCs w:val="24"/>
        </w:rPr>
      </w:pPr>
      <w:r w:rsidRPr="00371172">
        <w:rPr>
          <w:szCs w:val="24"/>
        </w:rPr>
        <w:t>12. Likumprojekta 24.pantā ietvertās likuma X1 nodaļas 58.</w:t>
      </w:r>
      <w:r w:rsidRPr="00371172">
        <w:rPr>
          <w:szCs w:val="24"/>
          <w:vertAlign w:val="superscript"/>
        </w:rPr>
        <w:t>6</w:t>
      </w:r>
      <w:r w:rsidRPr="00371172">
        <w:rPr>
          <w:szCs w:val="24"/>
        </w:rPr>
        <w:t xml:space="preserve"> panta (3) un (4) daļa nosaka, kā izmantojami atjaunojamās enerģijas un energoefektivitātes fonda līdzekļi, savukārt, t.sk. šī panta (7) daļa nosaka, ka Ministru kabinets nosaka kārtību, kādā izmanto atjaunojamās enerģijas un energoefektivitātes fonda līdzekļus. Vienlaikus šī panta (8) daļa nosaka, ka “Valsts un pašvaldība nodrošina komercdarbības atbalsta kontroles regulējuma ievērošanu atjaunojamās enerģijas un energoefektivitātes fonda darbībā”. Viennozīmīgai normas izpratnei lūdzam anotācijā skaidrot, kā jāsaprot 58.</w:t>
      </w:r>
      <w:r w:rsidRPr="00371172">
        <w:rPr>
          <w:szCs w:val="24"/>
          <w:vertAlign w:val="superscript"/>
        </w:rPr>
        <w:t>6</w:t>
      </w:r>
      <w:r w:rsidRPr="00371172">
        <w:rPr>
          <w:szCs w:val="24"/>
        </w:rPr>
        <w:t xml:space="preserve"> panta (8) daļā noteiktais, proti, kāda ir pašvaldību funkcija komercdarbības atbalsta kontroles regulējuma ievērošanā, proti, vai arī pašvaldības (ne tikai valsts) varēs izmantot fonda līdzekļus piešķirot komercdarbības atbalstu.</w:t>
      </w:r>
    </w:p>
    <w:p w14:paraId="376651A0" w14:textId="71E08B20" w:rsidR="00FE3681" w:rsidRPr="00371172" w:rsidRDefault="00FE3681" w:rsidP="00FE3681">
      <w:pPr>
        <w:tabs>
          <w:tab w:val="left" w:pos="851"/>
        </w:tabs>
        <w:ind w:firstLine="567"/>
        <w:rPr>
          <w:szCs w:val="24"/>
        </w:rPr>
      </w:pPr>
      <w:r w:rsidRPr="00371172">
        <w:rPr>
          <w:szCs w:val="24"/>
        </w:rPr>
        <w:t>13. Lūdzam Likumprojekta 24.pantā ietvertās likuma X1 nodaļas 58.</w:t>
      </w:r>
      <w:r w:rsidRPr="00371172">
        <w:rPr>
          <w:szCs w:val="24"/>
          <w:vertAlign w:val="superscript"/>
        </w:rPr>
        <w:t>6</w:t>
      </w:r>
      <w:r w:rsidRPr="00371172">
        <w:rPr>
          <w:szCs w:val="24"/>
        </w:rPr>
        <w:t xml:space="preserve"> panta (4) daļas 1) apakšpunktā svītrot vārdus “atbalsts tiek piešķirts projekta idejas attīstībai un projekta izstrādes tehniskajai palīdzībai”, proti, likumā neminēt konkrētas izmaksas, kam piešķirams atbalsts, lai nesašaurinātu likuma tvērumu. Konkrētas izmaksas tiks iekļautas konkrētos Ministru kabineta noteikumos (atbalsta programmā), un to, kādas ir atbalstāmās izmaksas ar konkrēto plānoto komercdarbības atbalsta regulējumu, ir izvērtējams Ministru kabineta noteikumu sagatavošanas procesā.</w:t>
      </w:r>
    </w:p>
    <w:p w14:paraId="6B563BF1" w14:textId="36F0DAB2" w:rsidR="00FE3681" w:rsidRPr="00371172" w:rsidRDefault="00FE3681" w:rsidP="00FE3681">
      <w:pPr>
        <w:tabs>
          <w:tab w:val="left" w:pos="851"/>
        </w:tabs>
        <w:ind w:firstLine="567"/>
        <w:rPr>
          <w:szCs w:val="24"/>
        </w:rPr>
      </w:pPr>
      <w:r w:rsidRPr="00371172">
        <w:rPr>
          <w:szCs w:val="24"/>
        </w:rPr>
        <w:t>14. Likumprojekta 24.pants paredz papildināt likumu ar XI nodaļu, kura 58.</w:t>
      </w:r>
      <w:r w:rsidRPr="00371172">
        <w:rPr>
          <w:szCs w:val="24"/>
          <w:vertAlign w:val="superscript"/>
        </w:rPr>
        <w:t>6</w:t>
      </w:r>
      <w:r w:rsidRPr="00371172">
        <w:rPr>
          <w:szCs w:val="24"/>
        </w:rPr>
        <w:t xml:space="preserve"> pants paredz Atjaunojamās enerģijas un energoefektivitātes fonda (turpmāk – fonds) izveidošanu un finanšu avotu noteikšanu. Norādām, ka valsts budžeta ieņēmumu iezīmēšana konkrētiem mērķiem nav atbalstāma finanšu vadības praksē, turklāt minētais priekšlikums paredz ieņēmumu pārdali, kas nozīmētu attiecīgi izdevumu samazināšanu citiem mērķiem. Ņemot vērā minēto, nevaram atbalstīt Atjaunojamās enerģijas un energoefektivitātes fonda izveidi ar Ekonomikas ministrijas piedāvātajiem  finansēšanas avotiem. Vienlaikus nav saprotams un pamatots, kāpēc no tik dažādiem finanšu avotiem ir jānodrošina minētā fonda finansēšana, kā arī</w:t>
      </w:r>
      <w:r w:rsidR="00166276">
        <w:rPr>
          <w:szCs w:val="24"/>
        </w:rPr>
        <w:t>,</w:t>
      </w:r>
      <w:r w:rsidRPr="00371172">
        <w:rPr>
          <w:szCs w:val="24"/>
        </w:rPr>
        <w:t xml:space="preserve"> kāpēc tiek paredzēta akcīzes nodokļa ieņēmumu par naftas produktiem un dabasgāzi iezīmēšana fonda finansēšanai un </w:t>
      </w:r>
      <w:r w:rsidRPr="00371172">
        <w:rPr>
          <w:szCs w:val="24"/>
        </w:rPr>
        <w:lastRenderedPageBreak/>
        <w:t xml:space="preserve">kādi citi finanšu avoti varētu būt noteikti likumā par valsts budžetu konkrētajam gadam un likumā par vidēja termiņa budžeta ietvaru. </w:t>
      </w:r>
    </w:p>
    <w:p w14:paraId="66467E11" w14:textId="5102AC84" w:rsidR="00FE3681" w:rsidRPr="00371172" w:rsidRDefault="00FE3681" w:rsidP="00FE3681">
      <w:pPr>
        <w:tabs>
          <w:tab w:val="left" w:pos="851"/>
        </w:tabs>
        <w:ind w:firstLine="567"/>
        <w:rPr>
          <w:szCs w:val="24"/>
        </w:rPr>
      </w:pPr>
      <w:r w:rsidRPr="00371172">
        <w:rPr>
          <w:szCs w:val="24"/>
        </w:rPr>
        <w:t>15. Energoefektivitātes fonda finansēšanas un izlietošanas nosacījumi ir noteikti Energoefektivitātes likumā, līdz ar to aicinām izvērtēt</w:t>
      </w:r>
      <w:r w:rsidR="00166276">
        <w:rPr>
          <w:szCs w:val="24"/>
        </w:rPr>
        <w:t>,</w:t>
      </w:r>
      <w:r w:rsidRPr="00371172">
        <w:rPr>
          <w:szCs w:val="24"/>
        </w:rPr>
        <w:t xml:space="preserve">  vai  Energoefektivitātes fonda līdzekļus var paredzēt kā finansēšanas avotu jaunajam Atjaunojamās enerģijas un energoefektivitātes fondam.  </w:t>
      </w:r>
    </w:p>
    <w:p w14:paraId="395F3335" w14:textId="77F3ECBB" w:rsidR="00FE3681" w:rsidRPr="00371172" w:rsidRDefault="00FE3681" w:rsidP="00FE3681">
      <w:pPr>
        <w:tabs>
          <w:tab w:val="left" w:pos="851"/>
        </w:tabs>
        <w:ind w:firstLine="567"/>
        <w:rPr>
          <w:szCs w:val="24"/>
        </w:rPr>
      </w:pPr>
      <w:r w:rsidRPr="00371172">
        <w:rPr>
          <w:szCs w:val="24"/>
        </w:rPr>
        <w:t>16. Ar  Likumprojekta 24.pantā ietvertās likuma X1 nodaļas 58.</w:t>
      </w:r>
      <w:r w:rsidRPr="00371172">
        <w:rPr>
          <w:szCs w:val="24"/>
          <w:vertAlign w:val="superscript"/>
        </w:rPr>
        <w:t>7</w:t>
      </w:r>
      <w:r w:rsidRPr="00371172">
        <w:rPr>
          <w:szCs w:val="24"/>
        </w:rPr>
        <w:t xml:space="preserve"> panta (1) daļu tiek pārņemtas Eiropas Parlamenta un Padomes 2018.gada 11.decembra direktīvas Nr.2018/2001 par no atjaunojamajiem energoresursiem iegūtas enerģijas izmantošanas veicināšanu (pārstrādāta redakcija) 6.panta 1.punkta prasības. Viennozīmīgai izpratnei lūdzam anotācijā skaidrot, ko pārņemtā norma nozīmē praksē, jo, piemēram, ja aktuālās komercdarbības atbalsta normas paredzēs mazākas atbalsta intensitātes, tad ar atbalstu saistītos nosacījumus var būt jāgroza un uzņēmumu stāvoklis var arī būt nelabvēlīgāks kā iepriekšējā tā situācijā.</w:t>
      </w:r>
    </w:p>
    <w:p w14:paraId="143C5AB6" w14:textId="63CDB446" w:rsidR="00FE3681" w:rsidRPr="00371172" w:rsidRDefault="00FE3681" w:rsidP="00FE3681">
      <w:pPr>
        <w:tabs>
          <w:tab w:val="left" w:pos="851"/>
        </w:tabs>
        <w:ind w:firstLine="567"/>
        <w:rPr>
          <w:szCs w:val="24"/>
        </w:rPr>
      </w:pPr>
      <w:r w:rsidRPr="00371172">
        <w:rPr>
          <w:szCs w:val="24"/>
        </w:rPr>
        <w:t xml:space="preserve">17. </w:t>
      </w:r>
      <w:r w:rsidRPr="00371172">
        <w:rPr>
          <w:szCs w:val="24"/>
          <w:shd w:val="clear" w:color="auto" w:fill="FFFFFF"/>
        </w:rPr>
        <w:t>Lūdzam precizēt Likumprojekta 24.pantā (attiecībā uz 58.</w:t>
      </w:r>
      <w:r w:rsidRPr="00371172">
        <w:rPr>
          <w:szCs w:val="24"/>
          <w:shd w:val="clear" w:color="auto" w:fill="FFFFFF"/>
          <w:vertAlign w:val="superscript"/>
        </w:rPr>
        <w:t>6</w:t>
      </w:r>
      <w:r w:rsidRPr="00371172">
        <w:rPr>
          <w:szCs w:val="24"/>
          <w:shd w:val="clear" w:color="auto" w:fill="FFFFFF"/>
        </w:rPr>
        <w:t xml:space="preserve"> panta otrās daļas 6.punktu) minētās nodevas nosaukumu atbilstoši Ministru kabineta 2015.gada 22.decembra noteikumiem Nr.805 "Noteikumi par ogļūdeņražu meklēšanu, izpēti un ieguvi", lai būtu nepārprotami skaidrs, kuras nodevas ieņēmumi tiks izmantoti Atjaunojamās enerģijas un energoefektivitātes fonda finansēšanai. </w:t>
      </w:r>
    </w:p>
    <w:p w14:paraId="6A70C584" w14:textId="6EA1133A" w:rsidR="00FE3681" w:rsidRPr="00371172" w:rsidRDefault="00FE3681" w:rsidP="00FE3681">
      <w:pPr>
        <w:tabs>
          <w:tab w:val="left" w:pos="851"/>
        </w:tabs>
        <w:ind w:firstLine="567"/>
        <w:rPr>
          <w:szCs w:val="24"/>
        </w:rPr>
      </w:pPr>
      <w:r w:rsidRPr="00371172">
        <w:rPr>
          <w:szCs w:val="24"/>
        </w:rPr>
        <w:t xml:space="preserve">18. Likumprojekta 40.pants paredz papildināt likumu ar 123. pantu par vienotu kontaktpunktu enerģijas ražošanas iekārtu ieviešanai. Atbilstoši Likumprojekta anotācijā noteiktajam vienota kontaktpunkta izveide ir nepieciešama, lai enerģijas ražošanas iekārtu ieviesējam nebūtu jāvēršas pie vairākām iestādēm (piemēram, Ekonomikas ministrijas, elektroenerģijas sistēmas operatora, būvvaldes), bet nepieciešamās darbības atļauju saņemšanai varētu tikt veiktas ar vienas iestādes starpniecību, kura nodrošinās kopējo procesa koordināciju un komunikāciju ar iesniedzēju. Iebilstam pret šāda vienota kontaktpunkta izveidi pārvades sistēmas operatoram pieslēdzamu ražošanas iekārtu pieslēgšanas procesā, jo šāda regulējuma ieviešana neveicinātu vēlamo procesa efektivitātes paaugstināšanu. Proti, jaunu elektroenerģijas ražošanas iekārtu pieslēgšana pie pārvades sistēmas notiek reti  un tas ir sarežģīts un laikietilpīgs process. Šis process tiek organizēts atbilstoši Sabiedrisko pakalpojumu regulēšanas komisijas apstiprinātiem </w:t>
      </w:r>
      <w:proofErr w:type="spellStart"/>
      <w:r w:rsidRPr="00371172">
        <w:rPr>
          <w:szCs w:val="24"/>
        </w:rPr>
        <w:t>pieslēguma</w:t>
      </w:r>
      <w:proofErr w:type="spellEnd"/>
      <w:r w:rsidRPr="00371172">
        <w:rPr>
          <w:szCs w:val="24"/>
        </w:rPr>
        <w:t xml:space="preserve"> noteikumiem un Eiropas Komisijas 2016.gada 14.aprīļa Regulu Nr.2016/631, ar ko izveido tīkla kodeksu par ģeneratoriem piemērojamajām tīkla </w:t>
      </w:r>
      <w:proofErr w:type="spellStart"/>
      <w:r w:rsidRPr="00371172">
        <w:rPr>
          <w:szCs w:val="24"/>
        </w:rPr>
        <w:t>pieslēguma</w:t>
      </w:r>
      <w:proofErr w:type="spellEnd"/>
      <w:r w:rsidRPr="00371172">
        <w:rPr>
          <w:szCs w:val="24"/>
        </w:rPr>
        <w:t xml:space="preserve"> prasībām. Tehnisko prasību definēšana jaunu elektroenerģijas ražošanas iekārtu pievienošanas procesā notiek pārvades sistēmas operatora un elektroenerģijas ražotāja ciešā sadarbībā ar mērķi elektroenerģijas ražotājam sniegt pilnīgu informāciju par pārvades sistēmas operatora izvirzītājam prasībām. Attiecīgi šī procesa efektīvai organizēšanai nepieciešama obligāta pārvades sistēmas operatora tieša komunikācija ar elektroenerģijas ražotāju un jebkāda starpposma ietveršana neveicinās procesa paātrināšanu. Līdz ar to likuma 123.pants nebūtu neattiecināms uz </w:t>
      </w:r>
      <w:proofErr w:type="spellStart"/>
      <w:r w:rsidRPr="00371172">
        <w:rPr>
          <w:szCs w:val="24"/>
        </w:rPr>
        <w:t>pieslēgumu</w:t>
      </w:r>
      <w:proofErr w:type="spellEnd"/>
      <w:r w:rsidRPr="00371172">
        <w:rPr>
          <w:szCs w:val="24"/>
        </w:rPr>
        <w:t xml:space="preserve"> pie pārvades sistēmas ierīkošanu.</w:t>
      </w:r>
      <w:r w:rsidRPr="00371172">
        <w:rPr>
          <w:szCs w:val="24"/>
          <w:lang w:eastAsia="lv-LV"/>
        </w:rPr>
        <w:t xml:space="preserve"> </w:t>
      </w:r>
    </w:p>
    <w:p w14:paraId="03564B26" w14:textId="1A007DC1" w:rsidR="00FE3681" w:rsidRPr="00371172" w:rsidRDefault="00FE3681" w:rsidP="00FE3681">
      <w:pPr>
        <w:tabs>
          <w:tab w:val="left" w:pos="851"/>
        </w:tabs>
        <w:ind w:firstLine="567"/>
        <w:rPr>
          <w:szCs w:val="24"/>
        </w:rPr>
      </w:pPr>
      <w:r w:rsidRPr="00371172">
        <w:rPr>
          <w:szCs w:val="24"/>
        </w:rPr>
        <w:t xml:space="preserve">19. Likumprojekta 40.pants paredz papildināt likumu ar XIX nodaļu “Enerģijas </w:t>
      </w:r>
      <w:proofErr w:type="spellStart"/>
      <w:r w:rsidRPr="00371172">
        <w:rPr>
          <w:szCs w:val="24"/>
        </w:rPr>
        <w:t>vairumtirgus</w:t>
      </w:r>
      <w:proofErr w:type="spellEnd"/>
      <w:r w:rsidRPr="00371172">
        <w:rPr>
          <w:szCs w:val="24"/>
        </w:rPr>
        <w:t xml:space="preserve"> uzraudzība”, ar ko atbilstoši Likumprojekta anotācijā norādītajam tiek stiprinātas Regulatora pilnvaras, izmeklējot iespējamos pārkāpumus enerģijas </w:t>
      </w:r>
      <w:proofErr w:type="spellStart"/>
      <w:r w:rsidRPr="00371172">
        <w:rPr>
          <w:szCs w:val="24"/>
        </w:rPr>
        <w:t>vairumtirgū</w:t>
      </w:r>
      <w:proofErr w:type="spellEnd"/>
      <w:r w:rsidRPr="00371172">
        <w:rPr>
          <w:szCs w:val="24"/>
        </w:rPr>
        <w:t xml:space="preserve">. Iebilstam pret minēto papildinājumu, jo šāda uzraudzība saistīta ar būtisku tiesību ierobežošanu un tam Likumprojektā anotācijā nav sniegts pietiekams pamatojums. Anotācijā vien norādīts, ka enerģijas </w:t>
      </w:r>
      <w:proofErr w:type="spellStart"/>
      <w:r w:rsidRPr="00371172">
        <w:rPr>
          <w:szCs w:val="24"/>
        </w:rPr>
        <w:t>vairumtirgus</w:t>
      </w:r>
      <w:proofErr w:type="spellEnd"/>
      <w:r w:rsidRPr="00371172">
        <w:rPr>
          <w:szCs w:val="24"/>
        </w:rPr>
        <w:t xml:space="preserve"> uzraudzības regulējums Likumprojektā ietverts atbilstoši Eiropas Parlamenta un Padomes 2011.gada 25.oktobra regulas Nr.1227/2011 par enerģijas </w:t>
      </w:r>
      <w:proofErr w:type="spellStart"/>
      <w:r w:rsidRPr="00371172">
        <w:rPr>
          <w:szCs w:val="24"/>
        </w:rPr>
        <w:t>vairumtirgus</w:t>
      </w:r>
      <w:proofErr w:type="spellEnd"/>
      <w:r w:rsidRPr="00371172">
        <w:rPr>
          <w:szCs w:val="24"/>
        </w:rPr>
        <w:t xml:space="preserve"> integritāti un </w:t>
      </w:r>
      <w:proofErr w:type="spellStart"/>
      <w:r w:rsidRPr="00371172">
        <w:rPr>
          <w:szCs w:val="24"/>
        </w:rPr>
        <w:t>pārredzamību</w:t>
      </w:r>
      <w:proofErr w:type="spellEnd"/>
      <w:r w:rsidRPr="00371172">
        <w:rPr>
          <w:szCs w:val="24"/>
        </w:rPr>
        <w:t xml:space="preserve"> (REMIT) (turpmāk – REMIT regula) 13.pantam, kurā uzskaitītas regulatīvās iestādes veicamās izmeklēšanas darbības. REMIT regulas 13.pantā noteikts, ka izmeklēšanas un izpildes pilnvaras tiek īstenotas saskaņā ar katras dalībvalsts tiesību aktiem. Tikai daļa no Likumprojektā paredzētajām Sabiedrisko pakalpojumu regulēšanas komisijas (turpmāk – Regulators) pilnvarām izriet no REMIT regulas prasībām un paredzēto Regulatora pilnvaru rezultātā radītie personu tiesību ierobežojumi nav samērojami ar sasniedzamo mērķi – nodrošināt REMIT regulas prasību izpildi. </w:t>
      </w:r>
    </w:p>
    <w:p w14:paraId="208D9D64"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hAnsi="Times New Roman" w:cs="Times New Roman"/>
          <w:sz w:val="24"/>
          <w:szCs w:val="24"/>
        </w:rPr>
        <w:lastRenderedPageBreak/>
        <w:t xml:space="preserve">REMIT regulas prasības ir spēkā kopš 2011.gada un līdz šim brīdim Regulators ir spējis nodrošināt REMIT regulas prasību ievērošanu savu likumā noteikto pilnvaru ietvaros. Proti, saskaņā ar likuma "Par sabiedrisko pakalpojumu regulatoriem" 10. panta pirmo daļu Regulators, pildot likumā noteiktās funkcijas, ir tiesīgs pieprasīt un netraucēti saņemt no sabiedrisko pakalpojumu sniedzējiem un lietotājiem, no valsts un pašvaldību iestādēm, kā arī no amatpersonām šo uzdevumu veikšanai nepieciešamo informāciju neatkarīgi no tās slepenības pakāpes. Turklāt par informācijas nesniegšanu, nepatiesas informācijas sniegšanu, Regulatora lēmumu nepildīšanu un regulējamo nozaru normatīvo aktu pārkāpšanu Latvijas Administratīvo pārkāpumu kodeksā paredzēts naudas sods. </w:t>
      </w:r>
      <w:r w:rsidRPr="00371172">
        <w:rPr>
          <w:rFonts w:ascii="Times New Roman" w:eastAsia="Calibri" w:hAnsi="Times New Roman" w:cs="Times New Roman"/>
          <w:sz w:val="24"/>
          <w:szCs w:val="24"/>
        </w:rPr>
        <w:t>Ņemot vērā minēto, Likumprojekta anotāciju nepieciešams papildināt ar detalizētu skaidrojumu, kā pamatojamas tik būtiskas regulējuma izmaiņas, ietverot skaidrojumu par katru paredzēto likuma 124.</w:t>
      </w:r>
      <w:r w:rsidRPr="00371172">
        <w:rPr>
          <w:rFonts w:ascii="Times New Roman" w:eastAsia="Calibri" w:hAnsi="Times New Roman" w:cs="Times New Roman"/>
          <w:sz w:val="24"/>
          <w:szCs w:val="24"/>
          <w:vertAlign w:val="superscript"/>
        </w:rPr>
        <w:t xml:space="preserve"> </w:t>
      </w:r>
      <w:r w:rsidRPr="00371172">
        <w:rPr>
          <w:rFonts w:ascii="Times New Roman" w:eastAsia="Calibri" w:hAnsi="Times New Roman" w:cs="Times New Roman"/>
          <w:sz w:val="24"/>
          <w:szCs w:val="24"/>
        </w:rPr>
        <w:t>panta procesuālo darbību, kā arī skaidrojumu, kuras darbības un kurus no  Eiropas Savienības tiesību aktiem izrietošus pienākumus Regulators nevar veikt šī brīža pilnvaru ietvaros.</w:t>
      </w:r>
    </w:p>
    <w:p w14:paraId="73DBBBB9" w14:textId="77777777" w:rsidR="00FE3681" w:rsidRPr="00371172" w:rsidRDefault="00FE3681" w:rsidP="00FE3681">
      <w:pPr>
        <w:pStyle w:val="ListParagraph"/>
        <w:tabs>
          <w:tab w:val="left" w:pos="851"/>
        </w:tabs>
        <w:ind w:left="0" w:firstLine="567"/>
        <w:contextualSpacing w:val="0"/>
        <w:jc w:val="both"/>
        <w:rPr>
          <w:rFonts w:ascii="Times New Roman" w:hAnsi="Times New Roman" w:cs="Times New Roman"/>
          <w:sz w:val="24"/>
          <w:szCs w:val="24"/>
        </w:rPr>
      </w:pPr>
      <w:r w:rsidRPr="00371172">
        <w:rPr>
          <w:rFonts w:ascii="Times New Roman" w:hAnsi="Times New Roman" w:cs="Times New Roman"/>
          <w:sz w:val="24"/>
          <w:szCs w:val="24"/>
        </w:rPr>
        <w:t>Likuma 124. panta pirmās daļas 3.punkta d) apakšpunktā minētās Regulatora darbinieka tiesības izņemt mantas un dokumentus, kuriem var būt nozīme lietā. Šī paša panta pirmās daļas 3.punkta a) apakšpunktā atrunātas plašas Regulatora tiesības iegūt pieprasīt un saņemt dokumentus. Tāpat tiek saglabāts vispārīgais regulējums par Regulatora tiesībām iegūt informāciju. Ministrijas ieskatā, d) apakšpunkta regulējums atkārto a) apakšpunktā minēto. Turklāt nav skaidrs, kādēļ Regulatoram, ja tam ir visas iespējas iegūt nepieciešamo informāciju, ir nepieciešams paredzēt tiesības izņemt mantas un dokumentus. Pie tam šādas tiesības nav minētas arī REMIT regulas 13.pantā.</w:t>
      </w:r>
    </w:p>
    <w:p w14:paraId="4FBDA377" w14:textId="7A9FF3F9" w:rsidR="00FE3681" w:rsidRPr="00371172" w:rsidRDefault="00FE3681" w:rsidP="00FE3681">
      <w:pPr>
        <w:pStyle w:val="ListParagraph"/>
        <w:tabs>
          <w:tab w:val="left" w:pos="851"/>
        </w:tabs>
        <w:ind w:left="0" w:firstLine="567"/>
        <w:contextualSpacing w:val="0"/>
        <w:jc w:val="both"/>
        <w:rPr>
          <w:rFonts w:ascii="Times New Roman" w:hAnsi="Times New Roman" w:cs="Times New Roman"/>
          <w:sz w:val="24"/>
          <w:szCs w:val="24"/>
        </w:rPr>
      </w:pPr>
      <w:r w:rsidRPr="00371172">
        <w:rPr>
          <w:rFonts w:ascii="Times New Roman" w:hAnsi="Times New Roman" w:cs="Times New Roman"/>
          <w:sz w:val="24"/>
          <w:szCs w:val="24"/>
        </w:rPr>
        <w:t>Attiecībā uz likuma 124. pantā ietverto regulējumu norād</w:t>
      </w:r>
      <w:r w:rsidR="00166276">
        <w:rPr>
          <w:rFonts w:ascii="Times New Roman" w:hAnsi="Times New Roman" w:cs="Times New Roman"/>
          <w:sz w:val="24"/>
          <w:szCs w:val="24"/>
        </w:rPr>
        <w:t>ām</w:t>
      </w:r>
      <w:r w:rsidRPr="00371172">
        <w:rPr>
          <w:rFonts w:ascii="Times New Roman" w:hAnsi="Times New Roman" w:cs="Times New Roman"/>
          <w:sz w:val="24"/>
          <w:szCs w:val="24"/>
        </w:rPr>
        <w:t>, ka ne no Likumprojekta, tā anotācijas vai REMIT regulas neizriet pamatojums noteikt 124.panta pirmās daļas 4. un 5.punktā minētās Regulatora un tā darbinieku tiesības. Ņemot vērā, ka šādu darbību veikšana būtiski ierobežo personu tiesības un pēc būtības vairāk atgādina kriminālprocesuālo darbību veikšanu, Likumprojekta anotāciju nepieciešams papildināt ar detalizētu pamatojumu šādu tiesību noteikšanai, kā arī skaidrojumu samērīguma principa ievērošanai attiecībā uz personu tiesību ierobežošanu un tiesību aizsardzību attiecīgo procesuālo darbību veikšanas laikā. Tāpat nav skaidrs, kādos gadījumos Regulators var izmantot savas 124. panta pirmās daļas 8.punktā minētās tiesības lūgt tiesu lemt par tirgus dalībnieku aktīvu iesaldēšanu. Attiecīgi nepieciešams precizēt gan likumprojektu, gan anotāciju, paskaidrojot šāda tiesību aprobežojuma noteikšanas nepieciešamību.</w:t>
      </w:r>
    </w:p>
    <w:p w14:paraId="3934DE6D" w14:textId="70F60B52"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 xml:space="preserve">Papildus vēlamies norādīt, ka Likumprojekta anotācijā norādīts, ka </w:t>
      </w:r>
      <w:r w:rsidRPr="00371172">
        <w:rPr>
          <w:rFonts w:ascii="Times New Roman" w:hAnsi="Times New Roman" w:cs="Times New Roman"/>
          <w:sz w:val="24"/>
          <w:szCs w:val="24"/>
        </w:rPr>
        <w:t>Enerģijas tirgus darbības uzraudzību veic gan Regulators, gan Konkurences padome, kurai normatīvajos aktos jau ir noteiktas izmeklēšanas pilnvaras un lai abām izmeklēšanā iesaistītajām pusēm būtu vienāds pilnvarojums, likumā ir jānosaka Regulatora izmeklēšanas pilnvaras un procedūras attiecībā uz enerģijas tirgus darbības uzraudzību. Norādām</w:t>
      </w:r>
      <w:r w:rsidRPr="00371172">
        <w:rPr>
          <w:rFonts w:ascii="Times New Roman" w:eastAsia="Calibri" w:hAnsi="Times New Roman" w:cs="Times New Roman"/>
          <w:sz w:val="24"/>
          <w:szCs w:val="24"/>
        </w:rPr>
        <w:t xml:space="preserve">, ka šāds pamatojums ir nepietiekams, jo nav skaidrs, kā esošo Regulatora pilnvaru apjoms ierobežo sadarbības iespējas ar </w:t>
      </w:r>
      <w:r w:rsidRPr="00371172">
        <w:rPr>
          <w:rFonts w:ascii="Times New Roman" w:hAnsi="Times New Roman" w:cs="Times New Roman"/>
          <w:sz w:val="24"/>
          <w:szCs w:val="24"/>
        </w:rPr>
        <w:t>Konkurences padomi</w:t>
      </w:r>
      <w:r w:rsidRPr="00371172">
        <w:rPr>
          <w:rFonts w:ascii="Times New Roman" w:eastAsia="Calibri" w:hAnsi="Times New Roman" w:cs="Times New Roman"/>
          <w:sz w:val="24"/>
          <w:szCs w:val="24"/>
        </w:rPr>
        <w:t>.</w:t>
      </w:r>
      <w:bookmarkStart w:id="8" w:name="_Hlk68775506"/>
      <w:bookmarkEnd w:id="6"/>
    </w:p>
    <w:p w14:paraId="3C45DF67" w14:textId="77777777" w:rsidR="00FE3681" w:rsidRPr="00371172" w:rsidRDefault="00FE3681" w:rsidP="00FE3681">
      <w:pPr>
        <w:tabs>
          <w:tab w:val="left" w:pos="851"/>
        </w:tabs>
        <w:ind w:firstLine="567"/>
        <w:rPr>
          <w:rFonts w:eastAsia="Calibri"/>
          <w:szCs w:val="24"/>
        </w:rPr>
      </w:pPr>
      <w:r w:rsidRPr="00371172">
        <w:rPr>
          <w:rFonts w:eastAsia="Calibri"/>
          <w:szCs w:val="24"/>
        </w:rPr>
        <w:t>20. Saskaņā ar Civillikuma 1129.</w:t>
      </w:r>
      <w:r w:rsidRPr="00371172">
        <w:rPr>
          <w:rFonts w:eastAsia="Calibri"/>
          <w:szCs w:val="24"/>
          <w:vertAlign w:val="superscript"/>
        </w:rPr>
        <w:t>1</w:t>
      </w:r>
      <w:r w:rsidRPr="00371172">
        <w:rPr>
          <w:rFonts w:eastAsia="Calibri"/>
          <w:szCs w:val="24"/>
        </w:rPr>
        <w:t xml:space="preserve"> pantu apbūves tiesība ir ar līgumu piešķirta mantojama un atsavināma lietu tiesība celt un lietot uz sveša zemes gabala nedzīvojamu ēku vai inženierbūvi kā īpašniekam šīs tiesības spēkā esamības laikā.</w:t>
      </w:r>
    </w:p>
    <w:p w14:paraId="5F984A28"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Attīstot elektroenerģijas pārvades sistēmu, AS “Augstsprieguma tīkls” (turpmāk – AST) ir nepieciešamība būvēt jaunus elektroenerģijas pārvades sistēmas objektus (nedzīvojamas ēkas vai inženierbūves, piemēram, slēgtā tipa un āra tipa apakšstacijas), un šādu objektu būvniecībai uz trešajai personai piederošā zemes gabala ir tikuši un var tikt noslēgti apbūves tiesību līgumi ar zemes īpašnieku. Uzsverams, ka apbūves tiesību izlietošanas gadījumi nav jaucami ar gadījumiem, kad inženierbūve tiek izvietota uz zemes lietošanas tiesību aprobežojuma pamata.</w:t>
      </w:r>
    </w:p>
    <w:p w14:paraId="7061D544"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Atbilstoši Civillikuma 1129.</w:t>
      </w:r>
      <w:r w:rsidRPr="00371172">
        <w:rPr>
          <w:rFonts w:ascii="Times New Roman" w:eastAsia="Calibri" w:hAnsi="Times New Roman" w:cs="Times New Roman"/>
          <w:sz w:val="24"/>
          <w:szCs w:val="24"/>
          <w:vertAlign w:val="superscript"/>
        </w:rPr>
        <w:t>9</w:t>
      </w:r>
      <w:r w:rsidRPr="00371172">
        <w:rPr>
          <w:rFonts w:ascii="Times New Roman" w:eastAsia="Calibri" w:hAnsi="Times New Roman" w:cs="Times New Roman"/>
          <w:sz w:val="24"/>
          <w:szCs w:val="24"/>
        </w:rPr>
        <w:t xml:space="preserve"> pantam zemes gabala īpašnieks uz apbūves tiesības pamata uzcelto nedzīvojamo ēku (inženierbūvi) pēc apbūves tiesības izbeigšanās iegūst īpašumā.</w:t>
      </w:r>
    </w:p>
    <w:p w14:paraId="743F91C1"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Saskaņā ar Civillikuma 1129.</w:t>
      </w:r>
      <w:r w:rsidRPr="00371172">
        <w:rPr>
          <w:rFonts w:ascii="Times New Roman" w:eastAsia="Calibri" w:hAnsi="Times New Roman" w:cs="Times New Roman"/>
          <w:sz w:val="24"/>
          <w:szCs w:val="24"/>
          <w:vertAlign w:val="superscript"/>
        </w:rPr>
        <w:t>2</w:t>
      </w:r>
      <w:r w:rsidRPr="00371172">
        <w:rPr>
          <w:rFonts w:ascii="Times New Roman" w:eastAsia="Calibri" w:hAnsi="Times New Roman" w:cs="Times New Roman"/>
          <w:sz w:val="24"/>
          <w:szCs w:val="24"/>
        </w:rPr>
        <w:t xml:space="preserve"> pantu apbūves tiesību līgumam noteikti jānosaka tā darbības termiņš. Līdz ar to apbūves tiesību līgums nevar būt beztermiņa līgums, un, tam izbeidzoties, nedzīvojamā ēka vai inženierbūve kļūst par zemes gabala īpašnieka īpašumu.</w:t>
      </w:r>
    </w:p>
    <w:p w14:paraId="45C78349"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lastRenderedPageBreak/>
        <w:t xml:space="preserve">Ne likumā, ne Civillikumā nav noteikts, kāda piederība vai lietošanas kārtība energoapgādes komersanta objektam ir pēc apbūves tiesību līguma termiņa beigām. </w:t>
      </w:r>
    </w:p>
    <w:p w14:paraId="12047033"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Elektroenerģijas pārvades sistēmai nepieciešamā energoapgādes komersanta objekta piederība par labu energoapgādes komersantam noteikta Elektroenerģijas tirgus likuma 10. pantā, saskaņā ar ko pārvades sistēma (ietver savstarpēji savienotus tīklus un iekārtas, tajā skaitā starpvalstu savienojumus, kuru spriegums ir 110 un vairāk kilovoltu un kuri tiek izmantoti pārvadei līdz attiecīgajai sadales sistēmai vai lietotājiem) ir pārvades sistēmas operatora īpašums. Šī norma Elektroenerģijas tirgus likumā iestrādāta, pamatojoties uz Eiropas Savienības tiesību aktu prasībām attiecībā uz pārvades sistēmas operatora darbību un pārvadē izmantojamo aktīvu piederību. Proti, saskaņā ar Eiropas Parlamenta un Padomes 2019. gada 5. jūnija direktīvas  (ES) 2019/944  par kopīgiem noteikumiem attiecībā uz elektroenerģijas iekšējo tirgu un ar ko groza Direktīvu 2012/27/ES 43.pantu, kurā noteikti pamatprincipi pārvades sistēmas operatoru darbībai, visi uzņēmumi, kam pieder pārvades sistēma, darbojas kā pārvades sistēmu operatori. No minētā izriet, ka nav pieļaujama īpašumtiesību uz pārvades aktīvu nodošana trešajai personai. Tomēr, ievērojot, ka Elektroenerģijas tirgus likuma mērķis atbilstoši minētā likuma 2. pantam ir elektroenerģijas tirgus darbība, būtu nepieciešams noteikt energoapgādes komersanta objekta piederību arī plašākā izpratnē, t.i. attiecībā uz enerģētiku kā tautsaimniecības nozari kopumā.</w:t>
      </w:r>
    </w:p>
    <w:p w14:paraId="4F50FE7D"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 xml:space="preserve">Uzskatām, ka energoapgādes komersanta objekta piederība pēc apbūves tiesību līguma izbeigšanās pie pastāvošā regulējuma ir neskaidra un nav viennozīmīga. Jau šobrīd praksē AST  ir </w:t>
      </w:r>
      <w:proofErr w:type="spellStart"/>
      <w:r w:rsidRPr="00371172">
        <w:rPr>
          <w:rFonts w:ascii="Times New Roman" w:eastAsia="Calibri" w:hAnsi="Times New Roman" w:cs="Times New Roman"/>
          <w:sz w:val="24"/>
          <w:szCs w:val="24"/>
        </w:rPr>
        <w:t>saskārusies</w:t>
      </w:r>
      <w:proofErr w:type="spellEnd"/>
      <w:r w:rsidRPr="00371172">
        <w:rPr>
          <w:rFonts w:ascii="Times New Roman" w:eastAsia="Calibri" w:hAnsi="Times New Roman" w:cs="Times New Roman"/>
          <w:sz w:val="24"/>
          <w:szCs w:val="24"/>
        </w:rPr>
        <w:t xml:space="preserve"> ar situāciju, ka zemes īpašnieks atsakās no apbūves tiesību līguma noslēgšanas, tā faktiski liedzot energoapgādes komersanta objekta īstenošanu, ja AST nepiekrīt energoapgādes komersanta objekta īpašumtiesību nodošanai zemes īpašniekam. Lai turpmāk izvairītos no šādiem riskiem, viestu skaidrību saistībā ar minēto un, ievērojot, ka likumā ir tieši regulēts jautājums par energoapgādes komersanta objekta izbūvi trešajām personām piederošajā īpašumā, ierosinām likumā noteikt, ka elektroenerģijas pārvadei nepieciešamie energoapgādes komersanta objekti pēc to izveidošanas pieder energoapgādes komersantam.</w:t>
      </w:r>
    </w:p>
    <w:p w14:paraId="713FD075"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 xml:space="preserve">Minētā sakarā ierosinām papildināt likuma 19. pantu ar septīto daļu, izsakot to šādā redakcijā: </w:t>
      </w:r>
    </w:p>
    <w:p w14:paraId="382D0A8C" w14:textId="77777777"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"Elektroenerģijas pārvadei nepieciešamie energoapgādes komersanta objekti pēc to izveidošanas pieder energoapgādes komersantam.".</w:t>
      </w:r>
    </w:p>
    <w:p w14:paraId="32FA6205" w14:textId="77777777" w:rsidR="00FE3681" w:rsidRPr="00371172" w:rsidRDefault="00FE3681" w:rsidP="00FE3681">
      <w:pPr>
        <w:pStyle w:val="ListParagraph"/>
        <w:tabs>
          <w:tab w:val="left" w:pos="851"/>
        </w:tabs>
        <w:ind w:left="0" w:firstLine="567"/>
        <w:contextualSpacing w:val="0"/>
        <w:jc w:val="both"/>
        <w:rPr>
          <w:rFonts w:ascii="Times New Roman" w:hAnsi="Times New Roman" w:cs="Times New Roman"/>
          <w:sz w:val="24"/>
          <w:szCs w:val="24"/>
        </w:rPr>
      </w:pPr>
      <w:r w:rsidRPr="00371172">
        <w:rPr>
          <w:rFonts w:ascii="Times New Roman" w:hAnsi="Times New Roman" w:cs="Times New Roman"/>
          <w:sz w:val="24"/>
          <w:szCs w:val="24"/>
        </w:rPr>
        <w:t xml:space="preserve">Papildus norādām, ka šobrīd AST ir noslēgusi vairākus apbūves tiesību līgumus, un no tiem visiem izriet, ka īpašumtiesības uz energoapgādes komersanta objektu pēc apbūves tiesību līguma pāriet zemes īpašniekam. Tomēr, ņemot vērā iepriekš minēto attiecībā uz pārvades aktīvu piederību, kā arī Elektroenerģijas tirgus likuma 11.panta pirmajā daļā noteikto, ka Latvijā ir tikai viens pārvades sistēmas operators, atkārtoti norādām, ka trešo personu īpašumtiesību iegūšana uz energoapgādes komersanta objektiem nav pieļaujama. Bez tam šie energoapgādes komersanta objekti ir 3.kategorijas būves, kas ir sevišķi </w:t>
      </w:r>
      <w:proofErr w:type="spellStart"/>
      <w:r w:rsidRPr="00371172">
        <w:rPr>
          <w:rFonts w:ascii="Times New Roman" w:hAnsi="Times New Roman" w:cs="Times New Roman"/>
          <w:sz w:val="24"/>
          <w:szCs w:val="24"/>
        </w:rPr>
        <w:t>elektrobīstamas</w:t>
      </w:r>
      <w:proofErr w:type="spellEnd"/>
      <w:r w:rsidRPr="00371172">
        <w:rPr>
          <w:rFonts w:ascii="Times New Roman" w:hAnsi="Times New Roman" w:cs="Times New Roman"/>
          <w:sz w:val="24"/>
          <w:szCs w:val="24"/>
        </w:rPr>
        <w:t xml:space="preserve">. Tādēļ nav skaidrs, kādas būs zemes īpašnieka tiesības un pienākumi attiecībā uz pārvades sistēmai piederošo ēku vai inženierbūvi, kad tā nonāks zemes īpašnieka īpašumā pēc apbūves tiesību līguma izbeigšanās. </w:t>
      </w:r>
    </w:p>
    <w:p w14:paraId="4A8F2665" w14:textId="655F8F31"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Ņemot vērā minēto</w:t>
      </w:r>
      <w:r w:rsidR="00166276">
        <w:rPr>
          <w:rFonts w:ascii="Times New Roman" w:eastAsia="Calibri" w:hAnsi="Times New Roman" w:cs="Times New Roman"/>
          <w:sz w:val="24"/>
          <w:szCs w:val="24"/>
        </w:rPr>
        <w:t>,</w:t>
      </w:r>
      <w:r w:rsidRPr="00371172">
        <w:rPr>
          <w:rFonts w:ascii="Times New Roman" w:eastAsia="Calibri" w:hAnsi="Times New Roman" w:cs="Times New Roman"/>
          <w:sz w:val="24"/>
          <w:szCs w:val="24"/>
        </w:rPr>
        <w:t xml:space="preserve"> un Oficiālo publikāciju un tiesiskās informācijas likuma 9.panta ceturto daļu, likuma 19. panta grozījumiem būtu iesakāms piemērot atpakaļejošu spēku un attiecināt tos uz visiem elektroenerģijas pārvadei nepieciešamajiem energoapgādes komersanta objektiem, par kuru izbūvi līdz likuma 19. panta grozījumu spēkā stāšanās dienai noslēgti apbūves tiesību līgumi.</w:t>
      </w:r>
      <w:bookmarkEnd w:id="8"/>
      <w:r w:rsidRPr="00371172">
        <w:rPr>
          <w:rFonts w:ascii="Times New Roman" w:eastAsia="Calibri" w:hAnsi="Times New Roman" w:cs="Times New Roman"/>
          <w:sz w:val="24"/>
          <w:szCs w:val="24"/>
        </w:rPr>
        <w:t xml:space="preserve"> </w:t>
      </w:r>
    </w:p>
    <w:p w14:paraId="70C0BC97" w14:textId="3EA8DF7D" w:rsidR="00FE3681" w:rsidRPr="00371172" w:rsidRDefault="00FE3681" w:rsidP="00FE3681">
      <w:pPr>
        <w:pStyle w:val="ListParagraph"/>
        <w:tabs>
          <w:tab w:val="left" w:pos="851"/>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 xml:space="preserve">21. Lūdzam svītrot Likumprojekta 48.panta pirmajā daļā piedāvāto regulējumu, jo piedāvātais regulējums izslēdz brīvas konkurences iespēju divu vai vairāku siltumapgādes operatoru </w:t>
      </w:r>
      <w:proofErr w:type="spellStart"/>
      <w:r w:rsidRPr="00371172">
        <w:rPr>
          <w:rFonts w:ascii="Times New Roman" w:eastAsia="Calibri" w:hAnsi="Times New Roman" w:cs="Times New Roman"/>
          <w:sz w:val="24"/>
          <w:szCs w:val="24"/>
        </w:rPr>
        <w:t>robežzonās</w:t>
      </w:r>
      <w:proofErr w:type="spellEnd"/>
      <w:r w:rsidRPr="00371172">
        <w:rPr>
          <w:rFonts w:ascii="Times New Roman" w:eastAsia="Calibri" w:hAnsi="Times New Roman" w:cs="Times New Roman"/>
          <w:sz w:val="24"/>
          <w:szCs w:val="24"/>
        </w:rPr>
        <w:t xml:space="preserve">. </w:t>
      </w:r>
    </w:p>
    <w:p w14:paraId="2D0FED22" w14:textId="6F929852" w:rsidR="00FE3681" w:rsidRPr="00371172" w:rsidRDefault="00FE3681" w:rsidP="00FE3681">
      <w:pPr>
        <w:pStyle w:val="ListParagraph"/>
        <w:tabs>
          <w:tab w:val="left" w:pos="851"/>
          <w:tab w:val="left" w:pos="993"/>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t>22.</w:t>
      </w:r>
      <w:r w:rsidRPr="00371172">
        <w:rPr>
          <w:rFonts w:ascii="Times New Roman" w:eastAsia="Calibri" w:hAnsi="Times New Roman" w:cs="Times New Roman"/>
          <w:sz w:val="24"/>
          <w:szCs w:val="24"/>
        </w:rPr>
        <w:tab/>
        <w:t xml:space="preserve"> Lūdzam precizēt Likumprojekta anotācijas I sadaļas 2.punktu (attiecībā uz norādīto“12. Lai regulējums būtu skaidrs un nepārprotams attiecībā uz enerģijas tirdzniecību, papildus izdalīta enerģijas vairumtirdzniecības un enerģijas mazumtirdzniecības definīcija. Tādā veidā tiek novērsta, šķietami, dubultas nodevas (gan par vairumtirdzniecību, gan mazumtirdzniecību) piemērošana elektroenerģijas un dabasgāzes tirdzniecībai.”), precīzi norādot, par kuru valsts nodevu ir runa. </w:t>
      </w:r>
    </w:p>
    <w:p w14:paraId="570909FE" w14:textId="65EA80CA" w:rsidR="00FE3681" w:rsidRPr="00371172" w:rsidRDefault="00FE3681" w:rsidP="00FE3681">
      <w:pPr>
        <w:pStyle w:val="ListParagraph"/>
        <w:tabs>
          <w:tab w:val="left" w:pos="851"/>
          <w:tab w:val="left" w:pos="993"/>
        </w:tabs>
        <w:ind w:left="0" w:firstLine="567"/>
        <w:contextualSpacing w:val="0"/>
        <w:jc w:val="both"/>
        <w:rPr>
          <w:rFonts w:ascii="Times New Roman" w:eastAsia="Calibri" w:hAnsi="Times New Roman" w:cs="Times New Roman"/>
          <w:sz w:val="24"/>
          <w:szCs w:val="24"/>
        </w:rPr>
      </w:pPr>
      <w:r w:rsidRPr="00371172">
        <w:rPr>
          <w:rFonts w:ascii="Times New Roman" w:eastAsia="Calibri" w:hAnsi="Times New Roman" w:cs="Times New Roman"/>
          <w:sz w:val="24"/>
          <w:szCs w:val="24"/>
        </w:rPr>
        <w:lastRenderedPageBreak/>
        <w:t>23. Likumprojekta anotācijas I sadaļas 2.punkta tabulā ir atspoguļoti Latvijas Nacionālajā enerģētikas un klimata plānā 2021.-2030. gadam (turpmāk – NEKP) noteiktie atjaunojamās enerģijas mērķi, bet faktiskā situācija ir atspoguļota par 2017.gadu, kas tomēr ir aktualitāti zaudējuši dati. Līdz ar to lūdzam aktualizēt datus par faktisko situāciju vismaz 2019.gadā, ja vēl nav pieejami dati par 2020.gadu.</w:t>
      </w:r>
    </w:p>
    <w:p w14:paraId="10D12A8C" w14:textId="77777777" w:rsidR="00FE3681" w:rsidRPr="00371172" w:rsidRDefault="00FE3681" w:rsidP="00FE3681">
      <w:pPr>
        <w:tabs>
          <w:tab w:val="left" w:pos="567"/>
          <w:tab w:val="left" w:pos="709"/>
          <w:tab w:val="left" w:pos="851"/>
        </w:tabs>
        <w:ind w:firstLine="567"/>
        <w:rPr>
          <w:szCs w:val="24"/>
        </w:rPr>
      </w:pPr>
      <w:r w:rsidRPr="00371172">
        <w:rPr>
          <w:szCs w:val="24"/>
        </w:rPr>
        <w:t xml:space="preserve">24. Norādām, ka nav atbalstāma tādu Likumprojektu virzība, kuru izpilde var netikt nodrošināta nepietiekamā finansējuma dēļ. Uzskatām, ka Likumprojekts var tikt virzīts izskatīšanai Ministru kabinetā tikai tad, ja tajā paredzēto pasākumu īstenošanai 2022.gada valsts budžeta sagatavošanas procesā Ministru kabinetā tiktu atbalstīta papildu finansējuma piešķiršana Ekonomikas ministrijai un Būvniecības valsts kontroles birojam un nepieciešamās amata vietas izveidotas, nepalielinot kopējo amata vietu skaitu resorā. </w:t>
      </w:r>
    </w:p>
    <w:p w14:paraId="4359E519" w14:textId="705BC116" w:rsidR="00FE3681" w:rsidRPr="00371172" w:rsidRDefault="00FE3681" w:rsidP="00FE3681">
      <w:pPr>
        <w:pStyle w:val="ListParagraph"/>
        <w:tabs>
          <w:tab w:val="left" w:pos="851"/>
        </w:tabs>
        <w:ind w:left="0" w:firstLine="567"/>
        <w:jc w:val="both"/>
        <w:rPr>
          <w:rFonts w:ascii="Times New Roman" w:hAnsi="Times New Roman" w:cs="Times New Roman"/>
          <w:sz w:val="24"/>
          <w:szCs w:val="24"/>
        </w:rPr>
      </w:pPr>
      <w:r w:rsidRPr="00371172">
        <w:rPr>
          <w:rFonts w:ascii="Times New Roman" w:hAnsi="Times New Roman" w:cs="Times New Roman"/>
          <w:sz w:val="24"/>
          <w:szCs w:val="24"/>
        </w:rPr>
        <w:t xml:space="preserve">Attiecībā uz jaunām amata vietām atzīmējam, ka atbilstoši Ministru kabineta 2017.gada 28.augusta ārkārtas sēdē (protokols Nr.41 1.§ 42.punkts) nolemtajam ministrijām uzdots pārskatīt līdzšinējo praksi un turpmāk nepieprasīt jaunas amata vietas, nepieciešamos cilvēkresursus rodot iekšējo procesu </w:t>
      </w:r>
      <w:proofErr w:type="spellStart"/>
      <w:r w:rsidRPr="00371172">
        <w:rPr>
          <w:rFonts w:ascii="Times New Roman" w:hAnsi="Times New Roman" w:cs="Times New Roman"/>
          <w:sz w:val="24"/>
          <w:szCs w:val="24"/>
        </w:rPr>
        <w:t>efektivizēšanā</w:t>
      </w:r>
      <w:proofErr w:type="spellEnd"/>
      <w:r w:rsidRPr="00371172">
        <w:rPr>
          <w:rFonts w:ascii="Times New Roman" w:hAnsi="Times New Roman" w:cs="Times New Roman"/>
          <w:sz w:val="24"/>
          <w:szCs w:val="24"/>
        </w:rPr>
        <w:t xml:space="preserve"> vai ministrijas ietvaros. Līdz ar to uzskatām, ka par jaunu amata vietu izveidi Ekonomikas ministrijas resorā ir svarīgs Valsts kancelejas kā politikas veidotāja viedoklis.</w:t>
      </w:r>
    </w:p>
    <w:p w14:paraId="6AB6B850" w14:textId="0B0B64ED" w:rsidR="00FE3681" w:rsidRPr="00371172" w:rsidRDefault="00FE3681" w:rsidP="00FE3681">
      <w:pPr>
        <w:pStyle w:val="ListParagraph"/>
        <w:tabs>
          <w:tab w:val="left" w:pos="851"/>
        </w:tabs>
        <w:ind w:left="0" w:firstLine="567"/>
        <w:jc w:val="both"/>
        <w:rPr>
          <w:rFonts w:ascii="Times New Roman" w:eastAsia="Times New Roman" w:hAnsi="Times New Roman" w:cs="Times New Roman"/>
          <w:sz w:val="24"/>
          <w:szCs w:val="24"/>
        </w:rPr>
      </w:pPr>
      <w:r w:rsidRPr="00371172">
        <w:rPr>
          <w:rFonts w:ascii="Times New Roman" w:hAnsi="Times New Roman" w:cs="Times New Roman"/>
          <w:sz w:val="24"/>
          <w:szCs w:val="24"/>
        </w:rPr>
        <w:t xml:space="preserve">25. </w:t>
      </w:r>
      <w:r w:rsidRPr="00371172">
        <w:rPr>
          <w:rFonts w:ascii="Times New Roman" w:eastAsia="Times New Roman" w:hAnsi="Times New Roman" w:cs="Times New Roman"/>
          <w:sz w:val="24"/>
          <w:szCs w:val="24"/>
        </w:rPr>
        <w:t xml:space="preserve">Nacionālā enerģētikas un klimata plāna 2021. – 2030. gadam 7.nodaļā ir paredzēts, ka pasākumus, kas saistīti ar tiesību aktu un politikas plānošanas dokumentu izstrādi, un ar to saistīto pētījumu vai </w:t>
      </w:r>
      <w:proofErr w:type="spellStart"/>
      <w:r w:rsidRPr="00371172">
        <w:rPr>
          <w:rFonts w:ascii="Times New Roman" w:eastAsia="Times New Roman" w:hAnsi="Times New Roman" w:cs="Times New Roman"/>
          <w:sz w:val="24"/>
          <w:szCs w:val="24"/>
        </w:rPr>
        <w:t>izvērtējumu</w:t>
      </w:r>
      <w:proofErr w:type="spellEnd"/>
      <w:r w:rsidRPr="00371172">
        <w:rPr>
          <w:rFonts w:ascii="Times New Roman" w:eastAsia="Times New Roman" w:hAnsi="Times New Roman" w:cs="Times New Roman"/>
          <w:sz w:val="24"/>
          <w:szCs w:val="24"/>
        </w:rPr>
        <w:t xml:space="preserve"> veikšanu, institūcijas īsteno tām piešķiramo valsts budžeta līdzekļu ietvaros. Ņemot vēra minēto, lūdzam pārskatīt anotācijas III sadaļā nepieciešamo papildu finansējuma apmēru, paredzot, ka tiesību aktu un politikas plānošanas dokumentu izstrāde, kā arī ziņojumu sagatavošana tiks nodrošināta Ekonomikas ministrijai un Būvniecības valsts kontroles birojam piešķirto valsts budžeta līdzekļu ietvaros, attiecīgi samazinot papildu nepieciešamā finansējuma apmēru.  Papildus uzskatām, ka ir jāprecizē arī sniegtā informācija par minētajā plānā iezīmēto finansējumu Likumprojektā paredzēto pienākumu izpildei, ņemot vērā, ka plāna 7.nodaļā ir noteikts, ka plānā ietverto rīcības virzienu īstenošanai plānotās darbības tiek īstenotas </w:t>
      </w:r>
      <w:r w:rsidRPr="00371172">
        <w:rPr>
          <w:rFonts w:ascii="Times New Roman" w:eastAsia="Times New Roman" w:hAnsi="Times New Roman" w:cs="Times New Roman"/>
          <w:sz w:val="24"/>
          <w:szCs w:val="24"/>
          <w:u w:val="single"/>
        </w:rPr>
        <w:t>atbildīgo institūciju piešķirto budžetu ietvaros un</w:t>
      </w:r>
      <w:r w:rsidRPr="00371172">
        <w:rPr>
          <w:rFonts w:ascii="Times New Roman" w:eastAsia="Times New Roman" w:hAnsi="Times New Roman" w:cs="Times New Roman"/>
          <w:sz w:val="24"/>
          <w:szCs w:val="24"/>
        </w:rPr>
        <w:t xml:space="preserve"> jautājums par papildu valsts budžeta līdzekļu piešķiršanu </w:t>
      </w:r>
      <w:r w:rsidRPr="00371172">
        <w:rPr>
          <w:rFonts w:ascii="Times New Roman" w:eastAsia="Times New Roman" w:hAnsi="Times New Roman" w:cs="Times New Roman"/>
          <w:sz w:val="24"/>
          <w:szCs w:val="24"/>
          <w:u w:val="single"/>
        </w:rPr>
        <w:t>skatāms Ministru kabinetā, sagatavojot vidēja termiņa budžeta ietvaru vai valsts budžetu n+1 gadam</w:t>
      </w:r>
      <w:r w:rsidRPr="00371172">
        <w:rPr>
          <w:rFonts w:ascii="Times New Roman" w:eastAsia="Times New Roman" w:hAnsi="Times New Roman" w:cs="Times New Roman"/>
          <w:sz w:val="24"/>
          <w:szCs w:val="24"/>
        </w:rPr>
        <w:t>.</w:t>
      </w:r>
    </w:p>
    <w:p w14:paraId="7EC9B2CB" w14:textId="4F2B9C5B" w:rsidR="00FE3681" w:rsidRPr="00371172" w:rsidRDefault="00FE3681" w:rsidP="00FE3681">
      <w:pPr>
        <w:pStyle w:val="ListParagraph"/>
        <w:tabs>
          <w:tab w:val="left" w:pos="851"/>
        </w:tabs>
        <w:ind w:left="0" w:firstLine="567"/>
        <w:jc w:val="both"/>
        <w:rPr>
          <w:rFonts w:ascii="Times New Roman" w:hAnsi="Times New Roman" w:cs="Times New Roman"/>
          <w:sz w:val="24"/>
          <w:szCs w:val="24"/>
        </w:rPr>
      </w:pPr>
      <w:r w:rsidRPr="00371172">
        <w:rPr>
          <w:rFonts w:ascii="Times New Roman" w:eastAsia="Times New Roman" w:hAnsi="Times New Roman" w:cs="Times New Roman"/>
          <w:sz w:val="24"/>
          <w:szCs w:val="24"/>
        </w:rPr>
        <w:t xml:space="preserve">26. No anotācijas III sadaļas 6.punktā sniegtās informācijas par papildu nepiekašamo finansējumu Likumprojektā iekļauto nosacījumu izpildei attiecībā uz </w:t>
      </w:r>
      <w:proofErr w:type="spellStart"/>
      <w:r w:rsidRPr="00371172">
        <w:rPr>
          <w:rFonts w:ascii="Times New Roman" w:eastAsia="Times New Roman" w:hAnsi="Times New Roman" w:cs="Times New Roman"/>
          <w:sz w:val="24"/>
          <w:szCs w:val="24"/>
        </w:rPr>
        <w:t>energokopienu</w:t>
      </w:r>
      <w:proofErr w:type="spellEnd"/>
      <w:r w:rsidRPr="00371172">
        <w:rPr>
          <w:rFonts w:ascii="Times New Roman" w:eastAsia="Times New Roman" w:hAnsi="Times New Roman" w:cs="Times New Roman"/>
          <w:sz w:val="24"/>
          <w:szCs w:val="24"/>
        </w:rPr>
        <w:t xml:space="preserve"> reģistra izveidi un uzturēšanu var secināt, ka reģistra izveides un uzturēšanas izmaksas, sākot ar 2022.gadu ik gadu ir plānotas 70 000 </w:t>
      </w:r>
      <w:proofErr w:type="spellStart"/>
      <w:r w:rsidRPr="00371172">
        <w:rPr>
          <w:rFonts w:ascii="Times New Roman" w:eastAsia="Times New Roman" w:hAnsi="Times New Roman" w:cs="Times New Roman"/>
          <w:sz w:val="24"/>
          <w:szCs w:val="24"/>
        </w:rPr>
        <w:t>euro</w:t>
      </w:r>
      <w:proofErr w:type="spellEnd"/>
      <w:r w:rsidRPr="00371172">
        <w:rPr>
          <w:rFonts w:ascii="Times New Roman" w:eastAsia="Times New Roman" w:hAnsi="Times New Roman" w:cs="Times New Roman"/>
          <w:sz w:val="24"/>
          <w:szCs w:val="24"/>
        </w:rPr>
        <w:t xml:space="preserve"> apmērā. Uzskatām, ka  sistēmas uzturēšanas izmaksas nevar būt vienādas ar izveides izmaksām, attiecīgi lūdzam sniegt skaidrojumu vai precizēt minēto izdevumu pozīciju. Papildus lūdzam arī sniegt minēto izmaksu indikatīvu aprēķinu. </w:t>
      </w:r>
    </w:p>
    <w:p w14:paraId="1ADD1EDE" w14:textId="77777777" w:rsidR="00FE3681" w:rsidRPr="00371172" w:rsidRDefault="00FE3681" w:rsidP="00FE3681">
      <w:pPr>
        <w:tabs>
          <w:tab w:val="left" w:pos="851"/>
        </w:tabs>
        <w:ind w:firstLine="567"/>
        <w:rPr>
          <w:szCs w:val="24"/>
          <w:u w:val="single"/>
        </w:rPr>
      </w:pPr>
    </w:p>
    <w:p w14:paraId="2FF5EDB6" w14:textId="77777777" w:rsidR="00FE3681" w:rsidRPr="00371172" w:rsidRDefault="00FE3681" w:rsidP="00FE3681">
      <w:pPr>
        <w:tabs>
          <w:tab w:val="left" w:pos="851"/>
          <w:tab w:val="left" w:pos="993"/>
        </w:tabs>
        <w:ind w:firstLine="567"/>
        <w:rPr>
          <w:szCs w:val="24"/>
          <w:u w:val="single"/>
        </w:rPr>
      </w:pPr>
      <w:r w:rsidRPr="00371172">
        <w:rPr>
          <w:szCs w:val="24"/>
          <w:u w:val="single"/>
        </w:rPr>
        <w:t>Vienlaikus izsakām šādus priekšlikumus.</w:t>
      </w:r>
    </w:p>
    <w:p w14:paraId="08AD2867" w14:textId="571A3B1B" w:rsidR="00FE3681" w:rsidRPr="00371172" w:rsidRDefault="00FE3681" w:rsidP="00FE3681">
      <w:pPr>
        <w:pStyle w:val="ListParagraph"/>
        <w:numPr>
          <w:ilvl w:val="0"/>
          <w:numId w:val="2"/>
        </w:numPr>
        <w:tabs>
          <w:tab w:val="left" w:pos="851"/>
          <w:tab w:val="left" w:pos="993"/>
        </w:tabs>
        <w:ind w:left="0" w:firstLine="567"/>
        <w:jc w:val="both"/>
        <w:outlineLvl w:val="0"/>
        <w:rPr>
          <w:rFonts w:ascii="Times New Roman" w:hAnsi="Times New Roman" w:cs="Times New Roman"/>
          <w:sz w:val="24"/>
          <w:szCs w:val="24"/>
        </w:rPr>
      </w:pPr>
      <w:r w:rsidRPr="00371172">
        <w:rPr>
          <w:rFonts w:ascii="Times New Roman" w:hAnsi="Times New Roman" w:cs="Times New Roman"/>
          <w:sz w:val="24"/>
          <w:szCs w:val="24"/>
        </w:rPr>
        <w:t xml:space="preserve">Aicinām papildināt Likumprojektu ar terminu “centralizēta siltumapgāde”, saskaņojot to ar Likumprojekta 1.panta </w:t>
      </w:r>
      <w:r w:rsidRPr="00371172">
        <w:rPr>
          <w:rFonts w:ascii="Times New Roman" w:hAnsi="Times New Roman" w:cs="Times New Roman"/>
          <w:sz w:val="24"/>
          <w:szCs w:val="24"/>
          <w:lang w:eastAsia="lv-LV"/>
        </w:rPr>
        <w:t>4.</w:t>
      </w:r>
      <w:r w:rsidRPr="00371172">
        <w:rPr>
          <w:rFonts w:ascii="Times New Roman" w:hAnsi="Times New Roman" w:cs="Times New Roman"/>
          <w:sz w:val="24"/>
          <w:szCs w:val="24"/>
          <w:vertAlign w:val="superscript"/>
          <w:lang w:eastAsia="lv-LV"/>
        </w:rPr>
        <w:t>4</w:t>
      </w:r>
      <w:r w:rsidRPr="00371172">
        <w:rPr>
          <w:rFonts w:ascii="Times New Roman" w:hAnsi="Times New Roman" w:cs="Times New Roman"/>
          <w:sz w:val="24"/>
          <w:szCs w:val="24"/>
          <w:lang w:eastAsia="lv-LV"/>
        </w:rPr>
        <w:t>, 4.</w:t>
      </w:r>
      <w:r w:rsidRPr="00371172">
        <w:rPr>
          <w:rFonts w:ascii="Times New Roman" w:hAnsi="Times New Roman" w:cs="Times New Roman"/>
          <w:sz w:val="24"/>
          <w:szCs w:val="24"/>
          <w:vertAlign w:val="superscript"/>
          <w:lang w:eastAsia="lv-LV"/>
        </w:rPr>
        <w:t>5</w:t>
      </w:r>
      <w:r w:rsidRPr="00371172">
        <w:rPr>
          <w:rFonts w:ascii="Times New Roman" w:hAnsi="Times New Roman" w:cs="Times New Roman"/>
          <w:sz w:val="24"/>
          <w:szCs w:val="24"/>
          <w:lang w:eastAsia="lv-LV"/>
        </w:rPr>
        <w:t xml:space="preserve"> un 4.</w:t>
      </w:r>
      <w:r w:rsidRPr="00371172">
        <w:rPr>
          <w:rFonts w:ascii="Times New Roman" w:hAnsi="Times New Roman" w:cs="Times New Roman"/>
          <w:sz w:val="24"/>
          <w:szCs w:val="24"/>
          <w:vertAlign w:val="superscript"/>
          <w:lang w:eastAsia="lv-LV"/>
        </w:rPr>
        <w:t>6</w:t>
      </w:r>
      <w:r w:rsidRPr="00371172">
        <w:rPr>
          <w:rFonts w:ascii="Times New Roman" w:hAnsi="Times New Roman" w:cs="Times New Roman"/>
          <w:sz w:val="24"/>
          <w:szCs w:val="24"/>
          <w:lang w:eastAsia="lv-LV"/>
        </w:rPr>
        <w:t>punktos ietverto regulējumu un Direktīvas 2018/2001 2.panta 19.punkta regulējumu, kā arī izvērtēt citu terminu, piemēram, “atjaunojamā enerģija” korektu atbilstību Direktīvas 2018/2001 2.pantā definētajiem terminiem.</w:t>
      </w:r>
    </w:p>
    <w:p w14:paraId="75F39D41" w14:textId="245A51CD" w:rsidR="00FE3681" w:rsidRPr="00371172" w:rsidRDefault="00FE3681" w:rsidP="00FE3681">
      <w:pPr>
        <w:pStyle w:val="ListParagraph"/>
        <w:numPr>
          <w:ilvl w:val="0"/>
          <w:numId w:val="2"/>
        </w:numPr>
        <w:tabs>
          <w:tab w:val="left" w:pos="851"/>
          <w:tab w:val="left" w:pos="993"/>
        </w:tabs>
        <w:ind w:left="0" w:firstLine="567"/>
        <w:jc w:val="both"/>
        <w:rPr>
          <w:rFonts w:ascii="Times New Roman" w:hAnsi="Times New Roman" w:cs="Times New Roman"/>
          <w:sz w:val="24"/>
          <w:szCs w:val="24"/>
        </w:rPr>
      </w:pPr>
      <w:r w:rsidRPr="00371172">
        <w:rPr>
          <w:rFonts w:ascii="Times New Roman" w:hAnsi="Times New Roman" w:cs="Times New Roman"/>
          <w:sz w:val="24"/>
          <w:szCs w:val="24"/>
        </w:rPr>
        <w:t>Ierosinām redakcionāli precizēt Likumprojekta 1.pantu, kas paredz likuma 1.pantu papildināt ar 24.</w:t>
      </w:r>
      <w:r w:rsidRPr="00371172">
        <w:rPr>
          <w:rFonts w:ascii="Times New Roman" w:hAnsi="Times New Roman" w:cs="Times New Roman"/>
          <w:sz w:val="24"/>
          <w:szCs w:val="24"/>
          <w:vertAlign w:val="superscript"/>
        </w:rPr>
        <w:t>1</w:t>
      </w:r>
      <w:r w:rsidRPr="00371172">
        <w:rPr>
          <w:rFonts w:ascii="Times New Roman" w:hAnsi="Times New Roman" w:cs="Times New Roman"/>
          <w:sz w:val="24"/>
          <w:szCs w:val="24"/>
        </w:rPr>
        <w:t xml:space="preserve"> punktu, jo akcīzes nodoklis ir jāmaksā par akcīzes precēm vai no akcīzes nodokļa ir apbrīvotas akcīzes preces, nevis ir pienākums maksāt vai nav pienākuma maksāt akcīzes nodokli. </w:t>
      </w:r>
    </w:p>
    <w:p w14:paraId="1DE4BC67" w14:textId="77777777" w:rsidR="00FE3681" w:rsidRPr="00371172" w:rsidRDefault="00FE3681" w:rsidP="00FE3681">
      <w:pPr>
        <w:numPr>
          <w:ilvl w:val="0"/>
          <w:numId w:val="2"/>
        </w:numPr>
        <w:tabs>
          <w:tab w:val="left" w:pos="851"/>
          <w:tab w:val="left" w:pos="993"/>
        </w:tabs>
        <w:ind w:left="0" w:firstLine="567"/>
        <w:rPr>
          <w:szCs w:val="24"/>
        </w:rPr>
      </w:pPr>
      <w:r w:rsidRPr="00371172">
        <w:rPr>
          <w:szCs w:val="24"/>
        </w:rPr>
        <w:t>Lai skaidrāk saprastu normas būtību, ierosinām Likumprojekta pārejas noteikumu 63.punktu izteikt šādā redakcijā:</w:t>
      </w:r>
    </w:p>
    <w:p w14:paraId="6B1C8392" w14:textId="3800FAE4" w:rsidR="00FE3681" w:rsidRPr="00371172" w:rsidRDefault="00FE3681" w:rsidP="00FE3681">
      <w:pPr>
        <w:tabs>
          <w:tab w:val="left" w:pos="851"/>
          <w:tab w:val="left" w:pos="993"/>
        </w:tabs>
        <w:ind w:firstLine="567"/>
        <w:rPr>
          <w:szCs w:val="24"/>
        </w:rPr>
      </w:pPr>
      <w:r w:rsidRPr="00371172">
        <w:rPr>
          <w:szCs w:val="24"/>
        </w:rPr>
        <w:t>“63. Par dabasgāzes piegādi sadales gāzesvadam, kas vēsturiski nav savienots ar Latvijas dabasgāzes pārvades sistēmu, saskaņā ar 106.pantā noteikto, ir atbildīgs tirgotājs, kas tirgo dabasgāzi lietotājam, kura gazificētais objekts ir pieslēgts pie gāzesvada, kas nav savienots ar Latvijas dabasgāzes pārvades sistēmu.”.</w:t>
      </w:r>
    </w:p>
    <w:p w14:paraId="6115F8D4" w14:textId="77777777" w:rsidR="00557B49" w:rsidRPr="00371172" w:rsidRDefault="00557B49" w:rsidP="00FE3681">
      <w:pPr>
        <w:ind w:firstLine="567"/>
        <w:rPr>
          <w:szCs w:val="24"/>
        </w:rPr>
      </w:pPr>
    </w:p>
    <w:p w14:paraId="22F7D6DA"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3649EF0E" w14:textId="77777777" w:rsidTr="00AA6DC1">
        <w:tc>
          <w:tcPr>
            <w:tcW w:w="4395" w:type="dxa"/>
          </w:tcPr>
          <w:p w14:paraId="18FA2A03" w14:textId="77777777" w:rsidR="00AA6DC1" w:rsidRPr="00615936" w:rsidRDefault="00E150CB" w:rsidP="007F3771">
            <w:pPr>
              <w:rPr>
                <w:szCs w:val="24"/>
              </w:rPr>
            </w:pPr>
            <w:r>
              <w:rPr>
                <w:szCs w:val="24"/>
              </w:rPr>
              <w:lastRenderedPageBreak/>
              <w:t>Administrācijas vadītāja</w:t>
            </w:r>
          </w:p>
        </w:tc>
        <w:tc>
          <w:tcPr>
            <w:tcW w:w="1984" w:type="dxa"/>
          </w:tcPr>
          <w:p w14:paraId="502A6D23" w14:textId="77777777" w:rsidR="00AA6DC1" w:rsidRDefault="00AA6DC1" w:rsidP="00AA6DC1">
            <w:pPr>
              <w:jc w:val="center"/>
              <w:rPr>
                <w:szCs w:val="24"/>
              </w:rPr>
            </w:pPr>
            <w:bookmarkStart w:id="9" w:name="edoc_info2"/>
            <w:r>
              <w:rPr>
                <w:szCs w:val="24"/>
              </w:rPr>
              <w:t>(paraksts*)</w:t>
            </w:r>
            <w:bookmarkEnd w:id="9"/>
          </w:p>
        </w:tc>
        <w:tc>
          <w:tcPr>
            <w:tcW w:w="2977" w:type="dxa"/>
            <w:vAlign w:val="bottom"/>
          </w:tcPr>
          <w:p w14:paraId="06A9AC76" w14:textId="77777777" w:rsidR="00AA6DC1" w:rsidRPr="00615936" w:rsidRDefault="00E150CB" w:rsidP="00483407">
            <w:pPr>
              <w:jc w:val="right"/>
              <w:rPr>
                <w:szCs w:val="24"/>
              </w:rPr>
            </w:pPr>
            <w:proofErr w:type="spellStart"/>
            <w:r>
              <w:rPr>
                <w:szCs w:val="24"/>
              </w:rPr>
              <w:t>I.Braunfelde</w:t>
            </w:r>
            <w:proofErr w:type="spellEnd"/>
          </w:p>
        </w:tc>
      </w:tr>
      <w:tr w:rsidR="00AA6DC1" w:rsidRPr="00615936" w14:paraId="2833D7D4" w14:textId="77777777" w:rsidTr="00AA6DC1">
        <w:tc>
          <w:tcPr>
            <w:tcW w:w="4395" w:type="dxa"/>
          </w:tcPr>
          <w:p w14:paraId="4D64AACD" w14:textId="77777777" w:rsidR="00AA6DC1" w:rsidRPr="00615936" w:rsidRDefault="00AA6DC1" w:rsidP="007F3771">
            <w:pPr>
              <w:rPr>
                <w:szCs w:val="24"/>
              </w:rPr>
            </w:pPr>
          </w:p>
        </w:tc>
        <w:tc>
          <w:tcPr>
            <w:tcW w:w="1984" w:type="dxa"/>
          </w:tcPr>
          <w:p w14:paraId="29F95596" w14:textId="77777777" w:rsidR="00AA6DC1" w:rsidRPr="00615936" w:rsidRDefault="00AA6DC1" w:rsidP="000C0DD4">
            <w:pPr>
              <w:jc w:val="right"/>
              <w:rPr>
                <w:szCs w:val="24"/>
              </w:rPr>
            </w:pPr>
          </w:p>
        </w:tc>
        <w:tc>
          <w:tcPr>
            <w:tcW w:w="2977" w:type="dxa"/>
            <w:vAlign w:val="bottom"/>
          </w:tcPr>
          <w:p w14:paraId="5D553089"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587CA148" w14:textId="77777777" w:rsidTr="00AA6DC1">
        <w:trPr>
          <w:cantSplit/>
          <w:trHeight w:val="615"/>
        </w:trPr>
        <w:tc>
          <w:tcPr>
            <w:tcW w:w="8647" w:type="dxa"/>
          </w:tcPr>
          <w:p w14:paraId="67EBB49C" w14:textId="77777777" w:rsidR="002D6CB4" w:rsidRPr="00AA6DC1" w:rsidRDefault="00AA6DC1" w:rsidP="00AA6DC1">
            <w:pPr>
              <w:pStyle w:val="BodyTextIndent"/>
              <w:tabs>
                <w:tab w:val="left" w:pos="8397"/>
              </w:tabs>
              <w:ind w:left="0"/>
              <w:rPr>
                <w:sz w:val="24"/>
                <w:szCs w:val="24"/>
              </w:rPr>
            </w:pPr>
            <w:bookmarkStart w:id="10" w:name="edoc_info" w:colFirst="0" w:colLast="0"/>
            <w:r w:rsidRPr="00AA6DC1">
              <w:rPr>
                <w:sz w:val="24"/>
                <w:szCs w:val="24"/>
              </w:rPr>
              <w:t>*Dokuments ir parakstīts ar drošu elektronisko parakstu</w:t>
            </w:r>
          </w:p>
        </w:tc>
      </w:tr>
      <w:bookmarkEnd w:id="10"/>
    </w:tbl>
    <w:p w14:paraId="7444D776" w14:textId="77777777" w:rsidR="00FE3681" w:rsidRDefault="00FE3681" w:rsidP="00FE3681">
      <w:pPr>
        <w:rPr>
          <w:sz w:val="20"/>
        </w:rPr>
      </w:pPr>
    </w:p>
    <w:p w14:paraId="2C1475D6" w14:textId="53B22511" w:rsidR="00FE3681" w:rsidRPr="00FE3681" w:rsidRDefault="00FE3681" w:rsidP="00FE3681">
      <w:pPr>
        <w:rPr>
          <w:sz w:val="20"/>
        </w:rPr>
      </w:pPr>
      <w:r w:rsidRPr="00FE3681">
        <w:rPr>
          <w:sz w:val="20"/>
        </w:rPr>
        <w:t>Āboliņa 67083963</w:t>
      </w:r>
    </w:p>
    <w:p w14:paraId="27F95AE6" w14:textId="77777777" w:rsidR="00FE3681" w:rsidRPr="00FE3681" w:rsidRDefault="00FE3681" w:rsidP="00FE3681">
      <w:pPr>
        <w:rPr>
          <w:sz w:val="20"/>
        </w:rPr>
      </w:pPr>
      <w:r w:rsidRPr="00FE3681">
        <w:rPr>
          <w:sz w:val="20"/>
        </w:rPr>
        <w:t xml:space="preserve">ilze.abolina@fm.gov.lv </w:t>
      </w:r>
    </w:p>
    <w:p w14:paraId="24210053" w14:textId="77777777" w:rsidR="00FE3681" w:rsidRPr="00FE3681" w:rsidRDefault="00FE3681" w:rsidP="00FE3681">
      <w:pPr>
        <w:rPr>
          <w:sz w:val="20"/>
        </w:rPr>
      </w:pPr>
    </w:p>
    <w:p w14:paraId="211630AB" w14:textId="77777777" w:rsidR="00FE3681" w:rsidRPr="00FE3681" w:rsidRDefault="00FE3681" w:rsidP="00FE3681">
      <w:pPr>
        <w:rPr>
          <w:sz w:val="20"/>
        </w:rPr>
      </w:pPr>
      <w:r w:rsidRPr="00FE3681">
        <w:rPr>
          <w:sz w:val="20"/>
        </w:rPr>
        <w:t>Osipova 67095450</w:t>
      </w:r>
    </w:p>
    <w:p w14:paraId="6B55D2A8" w14:textId="77777777" w:rsidR="00FE3681" w:rsidRPr="00FE3681" w:rsidRDefault="00FE3681" w:rsidP="00FE3681">
      <w:pPr>
        <w:rPr>
          <w:sz w:val="20"/>
        </w:rPr>
      </w:pPr>
      <w:r w:rsidRPr="00FE3681">
        <w:rPr>
          <w:sz w:val="20"/>
        </w:rPr>
        <w:t xml:space="preserve">anzelika.osipova@fm.gov.lv </w:t>
      </w:r>
    </w:p>
    <w:p w14:paraId="567F5C42" w14:textId="77777777" w:rsidR="00FE3681" w:rsidRPr="00FE3681" w:rsidRDefault="00FE3681" w:rsidP="00FE3681">
      <w:pPr>
        <w:rPr>
          <w:sz w:val="20"/>
        </w:rPr>
      </w:pPr>
    </w:p>
    <w:p w14:paraId="6F033919" w14:textId="77777777" w:rsidR="00FE3681" w:rsidRPr="00FE3681" w:rsidRDefault="00FE3681" w:rsidP="00FE3681">
      <w:pPr>
        <w:rPr>
          <w:sz w:val="20"/>
        </w:rPr>
      </w:pPr>
      <w:r w:rsidRPr="00FE3681">
        <w:rPr>
          <w:sz w:val="20"/>
        </w:rPr>
        <w:t>Kreicberga 67095572</w:t>
      </w:r>
    </w:p>
    <w:p w14:paraId="69B26E37" w14:textId="77777777" w:rsidR="00FE3681" w:rsidRPr="00FE3681" w:rsidRDefault="00FE3681" w:rsidP="00FE3681">
      <w:pPr>
        <w:rPr>
          <w:sz w:val="20"/>
        </w:rPr>
      </w:pPr>
      <w:r w:rsidRPr="00FE3681">
        <w:rPr>
          <w:sz w:val="20"/>
        </w:rPr>
        <w:t xml:space="preserve">ilze.kreicberga@fm.gov.lv  </w:t>
      </w:r>
    </w:p>
    <w:p w14:paraId="7D3B10D0" w14:textId="77777777" w:rsidR="00FE3681" w:rsidRPr="00FE3681" w:rsidRDefault="00FE3681" w:rsidP="00FE3681">
      <w:pPr>
        <w:rPr>
          <w:sz w:val="20"/>
        </w:rPr>
      </w:pPr>
    </w:p>
    <w:p w14:paraId="5E00FDC9" w14:textId="77777777" w:rsidR="00FE3681" w:rsidRPr="00FE3681" w:rsidRDefault="00FE3681" w:rsidP="00FE3681">
      <w:pPr>
        <w:rPr>
          <w:sz w:val="20"/>
        </w:rPr>
      </w:pPr>
      <w:proofErr w:type="spellStart"/>
      <w:r w:rsidRPr="00FE3681">
        <w:rPr>
          <w:sz w:val="20"/>
        </w:rPr>
        <w:t>Pentjuša</w:t>
      </w:r>
      <w:proofErr w:type="spellEnd"/>
      <w:r w:rsidRPr="00FE3681">
        <w:rPr>
          <w:sz w:val="20"/>
        </w:rPr>
        <w:t xml:space="preserve"> 67095651</w:t>
      </w:r>
    </w:p>
    <w:p w14:paraId="6714FC88" w14:textId="77777777" w:rsidR="00FE3681" w:rsidRPr="00FE3681" w:rsidRDefault="00FE3681" w:rsidP="00FE3681">
      <w:pPr>
        <w:rPr>
          <w:sz w:val="20"/>
        </w:rPr>
      </w:pPr>
      <w:r w:rsidRPr="00FE3681">
        <w:rPr>
          <w:sz w:val="20"/>
        </w:rPr>
        <w:t xml:space="preserve">elina.pentjusa@fm.gov.lv </w:t>
      </w:r>
    </w:p>
    <w:p w14:paraId="2B28D88E" w14:textId="77777777" w:rsidR="00FE3681" w:rsidRPr="00FE3681" w:rsidRDefault="00FE3681" w:rsidP="00FE3681">
      <w:pPr>
        <w:rPr>
          <w:sz w:val="20"/>
        </w:rPr>
      </w:pPr>
    </w:p>
    <w:p w14:paraId="59088FAF" w14:textId="77777777" w:rsidR="00FE3681" w:rsidRPr="00FE3681" w:rsidRDefault="00FE3681" w:rsidP="00FE3681">
      <w:pPr>
        <w:rPr>
          <w:sz w:val="20"/>
        </w:rPr>
      </w:pPr>
      <w:r w:rsidRPr="00FE3681">
        <w:rPr>
          <w:sz w:val="20"/>
        </w:rPr>
        <w:t>Bogdanova 67095682</w:t>
      </w:r>
    </w:p>
    <w:p w14:paraId="387D0D15" w14:textId="77777777" w:rsidR="00FE3681" w:rsidRPr="00FE3681" w:rsidRDefault="00FE3681" w:rsidP="00FE3681">
      <w:pPr>
        <w:rPr>
          <w:sz w:val="20"/>
        </w:rPr>
      </w:pPr>
      <w:r w:rsidRPr="00FE3681">
        <w:rPr>
          <w:sz w:val="20"/>
        </w:rPr>
        <w:t xml:space="preserve">olga.bogdanova@fm.gov.lv </w:t>
      </w:r>
    </w:p>
    <w:p w14:paraId="306BB6AC" w14:textId="77777777" w:rsidR="00FE3681" w:rsidRPr="00FE3681" w:rsidRDefault="00FE3681" w:rsidP="00FE3681">
      <w:pPr>
        <w:rPr>
          <w:sz w:val="20"/>
        </w:rPr>
      </w:pPr>
    </w:p>
    <w:p w14:paraId="2F4BA85F" w14:textId="77777777" w:rsidR="00FE3681" w:rsidRPr="00FE3681" w:rsidRDefault="00FE3681" w:rsidP="00FE3681">
      <w:pPr>
        <w:rPr>
          <w:sz w:val="20"/>
        </w:rPr>
      </w:pPr>
      <w:r w:rsidRPr="00FE3681">
        <w:rPr>
          <w:sz w:val="20"/>
        </w:rPr>
        <w:t>Lukss 67083846</w:t>
      </w:r>
    </w:p>
    <w:p w14:paraId="04870DB8" w14:textId="77777777" w:rsidR="00FE3681" w:rsidRPr="00FE3681" w:rsidRDefault="00FE3681" w:rsidP="00FE3681">
      <w:pPr>
        <w:rPr>
          <w:sz w:val="20"/>
        </w:rPr>
      </w:pPr>
      <w:r w:rsidRPr="00FE3681">
        <w:rPr>
          <w:sz w:val="20"/>
        </w:rPr>
        <w:t xml:space="preserve">juris.lukss@fm.gov.lv </w:t>
      </w:r>
    </w:p>
    <w:p w14:paraId="4C261114" w14:textId="77777777" w:rsidR="00FE3681" w:rsidRPr="00FE3681" w:rsidRDefault="00FE3681" w:rsidP="00FE3681">
      <w:pPr>
        <w:rPr>
          <w:sz w:val="20"/>
        </w:rPr>
      </w:pPr>
    </w:p>
    <w:p w14:paraId="6B69FFCF" w14:textId="77777777" w:rsidR="00FE3681" w:rsidRPr="00FE3681" w:rsidRDefault="00FE3681" w:rsidP="00FE3681">
      <w:pPr>
        <w:rPr>
          <w:sz w:val="20"/>
        </w:rPr>
      </w:pPr>
      <w:r w:rsidRPr="00FE3681">
        <w:rPr>
          <w:sz w:val="20"/>
        </w:rPr>
        <w:t>Grasmanis 29422063</w:t>
      </w:r>
    </w:p>
    <w:p w14:paraId="5C879658" w14:textId="319C21A1" w:rsidR="00FE3681" w:rsidRPr="00FE3681" w:rsidRDefault="00EC5178" w:rsidP="00FE3681">
      <w:pPr>
        <w:rPr>
          <w:sz w:val="20"/>
        </w:rPr>
      </w:pPr>
      <w:r>
        <w:rPr>
          <w:sz w:val="20"/>
        </w:rPr>
        <w:t>d</w:t>
      </w:r>
      <w:r w:rsidR="00FE3681" w:rsidRPr="00FE3681">
        <w:rPr>
          <w:sz w:val="20"/>
        </w:rPr>
        <w:t>zintars.</w:t>
      </w:r>
      <w:r>
        <w:rPr>
          <w:sz w:val="20"/>
        </w:rPr>
        <w:t>g</w:t>
      </w:r>
      <w:r w:rsidR="00FE3681" w:rsidRPr="00FE3681">
        <w:rPr>
          <w:sz w:val="20"/>
        </w:rPr>
        <w:t xml:space="preserve">rasmanis@vni.lv </w:t>
      </w:r>
    </w:p>
    <w:p w14:paraId="589F8868" w14:textId="77777777" w:rsidR="00FE3681" w:rsidRPr="00FE3681" w:rsidRDefault="00FE3681" w:rsidP="00FE3681">
      <w:pPr>
        <w:rPr>
          <w:sz w:val="20"/>
        </w:rPr>
      </w:pPr>
    </w:p>
    <w:p w14:paraId="7B40E0D5" w14:textId="77777777" w:rsidR="00FE3681" w:rsidRPr="00FE3681" w:rsidRDefault="00FE3681" w:rsidP="00FE3681">
      <w:pPr>
        <w:rPr>
          <w:sz w:val="20"/>
        </w:rPr>
      </w:pPr>
      <w:proofErr w:type="spellStart"/>
      <w:r w:rsidRPr="00FE3681">
        <w:rPr>
          <w:sz w:val="20"/>
        </w:rPr>
        <w:t>Peimane</w:t>
      </w:r>
      <w:proofErr w:type="spellEnd"/>
      <w:r w:rsidRPr="00FE3681">
        <w:rPr>
          <w:sz w:val="20"/>
        </w:rPr>
        <w:t xml:space="preserve"> 25600849</w:t>
      </w:r>
    </w:p>
    <w:p w14:paraId="02FE5088" w14:textId="5E1B0F01" w:rsidR="00FE3681" w:rsidRPr="00FE3681" w:rsidRDefault="00EC5178" w:rsidP="00FE3681">
      <w:pPr>
        <w:rPr>
          <w:sz w:val="20"/>
        </w:rPr>
      </w:pPr>
      <w:r>
        <w:rPr>
          <w:sz w:val="20"/>
        </w:rPr>
        <w:t>i</w:t>
      </w:r>
      <w:r w:rsidR="00FE3681" w:rsidRPr="00FE3681">
        <w:rPr>
          <w:sz w:val="20"/>
        </w:rPr>
        <w:t>lvija.</w:t>
      </w:r>
      <w:r>
        <w:rPr>
          <w:sz w:val="20"/>
        </w:rPr>
        <w:t>p</w:t>
      </w:r>
      <w:r w:rsidR="00FE3681" w:rsidRPr="00FE3681">
        <w:rPr>
          <w:sz w:val="20"/>
        </w:rPr>
        <w:t xml:space="preserve">eimane@vni.lv </w:t>
      </w:r>
    </w:p>
    <w:p w14:paraId="71641C56" w14:textId="77777777" w:rsidR="00FE3681" w:rsidRPr="00FE3681" w:rsidRDefault="00FE3681" w:rsidP="00FE3681">
      <w:pPr>
        <w:rPr>
          <w:sz w:val="20"/>
        </w:rPr>
      </w:pPr>
    </w:p>
    <w:p w14:paraId="28A01285" w14:textId="77777777" w:rsidR="00FE3681" w:rsidRPr="00FE3681" w:rsidRDefault="00FE3681" w:rsidP="00FE3681">
      <w:pPr>
        <w:rPr>
          <w:sz w:val="20"/>
        </w:rPr>
      </w:pPr>
      <w:proofErr w:type="spellStart"/>
      <w:r w:rsidRPr="00FE3681">
        <w:rPr>
          <w:sz w:val="20"/>
        </w:rPr>
        <w:t>Kupics</w:t>
      </w:r>
      <w:proofErr w:type="spellEnd"/>
      <w:r w:rsidRPr="00FE3681">
        <w:rPr>
          <w:sz w:val="20"/>
        </w:rPr>
        <w:t xml:space="preserve"> 67725341</w:t>
      </w:r>
    </w:p>
    <w:p w14:paraId="1FF34BDD" w14:textId="6D98A0EA" w:rsidR="00FE3681" w:rsidRPr="00FE3681" w:rsidRDefault="00DF0953" w:rsidP="00FE3681">
      <w:pPr>
        <w:rPr>
          <w:sz w:val="20"/>
        </w:rPr>
      </w:pPr>
      <w:r>
        <w:rPr>
          <w:sz w:val="20"/>
        </w:rPr>
        <w:t>o</w:t>
      </w:r>
      <w:r w:rsidR="00FE3681" w:rsidRPr="00FE3681">
        <w:rPr>
          <w:sz w:val="20"/>
        </w:rPr>
        <w:t xml:space="preserve">skars.kupics@ast.lv </w:t>
      </w:r>
    </w:p>
    <w:p w14:paraId="50F78D4D" w14:textId="77777777" w:rsidR="000C0DD4" w:rsidRPr="006D6710" w:rsidRDefault="000C0DD4" w:rsidP="007F3771">
      <w:pPr>
        <w:rPr>
          <w:sz w:val="20"/>
        </w:rPr>
      </w:pP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7E33D" w14:textId="77777777" w:rsidR="002974F2" w:rsidRDefault="002974F2">
      <w:r>
        <w:separator/>
      </w:r>
    </w:p>
  </w:endnote>
  <w:endnote w:type="continuationSeparator" w:id="0">
    <w:p w14:paraId="4E9D9E41" w14:textId="77777777" w:rsidR="002974F2" w:rsidRDefault="0029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D8329"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58D172F1"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76336150"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F2A2C" w14:textId="77777777" w:rsidR="0015384D" w:rsidRDefault="0015384D">
    <w:pPr>
      <w:pStyle w:val="Footer"/>
      <w:jc w:val="center"/>
    </w:pPr>
  </w:p>
  <w:p w14:paraId="6AD193E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AE080" w14:textId="77777777" w:rsidR="002974F2" w:rsidRDefault="002974F2">
      <w:r>
        <w:separator/>
      </w:r>
    </w:p>
  </w:footnote>
  <w:footnote w:type="continuationSeparator" w:id="0">
    <w:p w14:paraId="6D430AF6" w14:textId="77777777" w:rsidR="002974F2" w:rsidRDefault="0029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1FF48"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A2B2DAB"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2BF0C"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86E93" w14:textId="77777777" w:rsidR="002C22B9" w:rsidRDefault="002C22B9">
    <w:pPr>
      <w:pStyle w:val="Header"/>
    </w:pPr>
  </w:p>
  <w:p w14:paraId="3B66D239" w14:textId="77777777" w:rsidR="002C22B9" w:rsidRDefault="002C22B9">
    <w:pPr>
      <w:pStyle w:val="Header"/>
    </w:pPr>
  </w:p>
  <w:p w14:paraId="729B9FDB" w14:textId="77777777" w:rsidR="002C22B9" w:rsidRDefault="002C22B9">
    <w:pPr>
      <w:pStyle w:val="Header"/>
    </w:pPr>
  </w:p>
  <w:p w14:paraId="57509BE1"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EAE2057" wp14:editId="591B9FC4">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7282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E2057"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40D7282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3CD0D34" wp14:editId="3C80460E">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78E260" w14:textId="77777777" w:rsidR="002C22B9" w:rsidRDefault="002C22B9">
    <w:pPr>
      <w:pStyle w:val="Header"/>
    </w:pPr>
  </w:p>
  <w:p w14:paraId="1A915C56" w14:textId="77777777" w:rsidR="002C22B9" w:rsidRDefault="002C22B9">
    <w:pPr>
      <w:pStyle w:val="Header"/>
    </w:pPr>
  </w:p>
  <w:p w14:paraId="55901274" w14:textId="77777777" w:rsidR="002C22B9" w:rsidRDefault="002C22B9">
    <w:pPr>
      <w:pStyle w:val="Header"/>
    </w:pPr>
  </w:p>
  <w:p w14:paraId="1320C35C" w14:textId="77777777" w:rsidR="002C22B9" w:rsidRDefault="002C22B9">
    <w:pPr>
      <w:pStyle w:val="Header"/>
    </w:pPr>
  </w:p>
  <w:p w14:paraId="6AF36461" w14:textId="77777777" w:rsidR="002C22B9" w:rsidRDefault="002C22B9">
    <w:pPr>
      <w:pStyle w:val="Header"/>
    </w:pPr>
  </w:p>
  <w:p w14:paraId="165ED3C7" w14:textId="77777777" w:rsidR="002C22B9" w:rsidRDefault="002C22B9">
    <w:pPr>
      <w:pStyle w:val="Header"/>
    </w:pPr>
  </w:p>
  <w:p w14:paraId="4EEF3A8E"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00C497A" wp14:editId="126B7E4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AA63B71" w14:textId="77777777" w:rsidR="002C22B9" w:rsidRDefault="002C22B9">
    <w:pPr>
      <w:pStyle w:val="Header"/>
    </w:pPr>
  </w:p>
  <w:p w14:paraId="6643406E" w14:textId="77777777" w:rsidR="002C22B9" w:rsidRDefault="002C22B9">
    <w:pPr>
      <w:pStyle w:val="Header"/>
    </w:pPr>
  </w:p>
  <w:p w14:paraId="3D0BA8C2"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F13CF"/>
    <w:multiLevelType w:val="hybridMultilevel"/>
    <w:tmpl w:val="455A0154"/>
    <w:lvl w:ilvl="0" w:tplc="507E5B98">
      <w:start w:val="1"/>
      <w:numFmt w:val="decimal"/>
      <w:lvlText w:val="%1."/>
      <w:lvlJc w:val="left"/>
      <w:pPr>
        <w:ind w:left="1080" w:hanging="360"/>
      </w:pPr>
      <w:rPr>
        <w:rFonts w:ascii="Calibri" w:eastAsiaTheme="minorHAnsi" w:hAnsi="Calibri" w:cs="Calibri"/>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65442F9B"/>
    <w:multiLevelType w:val="hybridMultilevel"/>
    <w:tmpl w:val="9176D978"/>
    <w:lvl w:ilvl="0" w:tplc="F9AE3116">
      <w:start w:val="1"/>
      <w:numFmt w:val="decimal"/>
      <w:lvlText w:val="%1."/>
      <w:lvlJc w:val="left"/>
      <w:pPr>
        <w:ind w:left="1070" w:hanging="360"/>
      </w:pPr>
      <w:rPr>
        <w:rFonts w:eastAsiaTheme="minorHAnsi" w:hint="default"/>
        <w:b w:val="0"/>
        <w:bCs/>
      </w:rPr>
    </w:lvl>
    <w:lvl w:ilvl="1" w:tplc="A49A283C" w:tentative="1">
      <w:start w:val="1"/>
      <w:numFmt w:val="lowerLetter"/>
      <w:lvlText w:val="%2."/>
      <w:lvlJc w:val="left"/>
      <w:pPr>
        <w:ind w:left="2139" w:hanging="360"/>
      </w:pPr>
    </w:lvl>
    <w:lvl w:ilvl="2" w:tplc="02E0AEB4" w:tentative="1">
      <w:start w:val="1"/>
      <w:numFmt w:val="lowerRoman"/>
      <w:lvlText w:val="%3."/>
      <w:lvlJc w:val="right"/>
      <w:pPr>
        <w:ind w:left="2859" w:hanging="180"/>
      </w:pPr>
    </w:lvl>
    <w:lvl w:ilvl="3" w:tplc="E6363FDC" w:tentative="1">
      <w:start w:val="1"/>
      <w:numFmt w:val="decimal"/>
      <w:lvlText w:val="%4."/>
      <w:lvlJc w:val="left"/>
      <w:pPr>
        <w:ind w:left="3579" w:hanging="360"/>
      </w:pPr>
    </w:lvl>
    <w:lvl w:ilvl="4" w:tplc="302C92D0" w:tentative="1">
      <w:start w:val="1"/>
      <w:numFmt w:val="lowerLetter"/>
      <w:lvlText w:val="%5."/>
      <w:lvlJc w:val="left"/>
      <w:pPr>
        <w:ind w:left="4299" w:hanging="360"/>
      </w:pPr>
    </w:lvl>
    <w:lvl w:ilvl="5" w:tplc="9E908A72" w:tentative="1">
      <w:start w:val="1"/>
      <w:numFmt w:val="lowerRoman"/>
      <w:lvlText w:val="%6."/>
      <w:lvlJc w:val="right"/>
      <w:pPr>
        <w:ind w:left="5019" w:hanging="180"/>
      </w:pPr>
    </w:lvl>
    <w:lvl w:ilvl="6" w:tplc="B88A29F2" w:tentative="1">
      <w:start w:val="1"/>
      <w:numFmt w:val="decimal"/>
      <w:lvlText w:val="%7."/>
      <w:lvlJc w:val="left"/>
      <w:pPr>
        <w:ind w:left="5739" w:hanging="360"/>
      </w:pPr>
    </w:lvl>
    <w:lvl w:ilvl="7" w:tplc="7E9A7988" w:tentative="1">
      <w:start w:val="1"/>
      <w:numFmt w:val="lowerLetter"/>
      <w:lvlText w:val="%8."/>
      <w:lvlJc w:val="left"/>
      <w:pPr>
        <w:ind w:left="6459" w:hanging="360"/>
      </w:pPr>
    </w:lvl>
    <w:lvl w:ilvl="8" w:tplc="C92C31C8" w:tentative="1">
      <w:start w:val="1"/>
      <w:numFmt w:val="lowerRoman"/>
      <w:lvlText w:val="%9."/>
      <w:lvlJc w:val="right"/>
      <w:pPr>
        <w:ind w:left="7179"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66276"/>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974F2"/>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1172"/>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67A16"/>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5658"/>
    <w:rsid w:val="007E7EA0"/>
    <w:rsid w:val="007F3771"/>
    <w:rsid w:val="007F6888"/>
    <w:rsid w:val="00812E64"/>
    <w:rsid w:val="0081459F"/>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34AEC"/>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266A"/>
    <w:rsid w:val="00DA3EAF"/>
    <w:rsid w:val="00DA7256"/>
    <w:rsid w:val="00DA7D9E"/>
    <w:rsid w:val="00DB1E3A"/>
    <w:rsid w:val="00DB5AB6"/>
    <w:rsid w:val="00DC1310"/>
    <w:rsid w:val="00DC1600"/>
    <w:rsid w:val="00DC461E"/>
    <w:rsid w:val="00DD4524"/>
    <w:rsid w:val="00DD56CC"/>
    <w:rsid w:val="00DD5E25"/>
    <w:rsid w:val="00DE61DE"/>
    <w:rsid w:val="00DE7EC9"/>
    <w:rsid w:val="00DF0953"/>
    <w:rsid w:val="00DF1EC1"/>
    <w:rsid w:val="00DF75CE"/>
    <w:rsid w:val="00E04F00"/>
    <w:rsid w:val="00E0527A"/>
    <w:rsid w:val="00E13483"/>
    <w:rsid w:val="00E150CB"/>
    <w:rsid w:val="00E15F9B"/>
    <w:rsid w:val="00E25982"/>
    <w:rsid w:val="00E3743F"/>
    <w:rsid w:val="00E44ADB"/>
    <w:rsid w:val="00E71316"/>
    <w:rsid w:val="00E95294"/>
    <w:rsid w:val="00EA7310"/>
    <w:rsid w:val="00EB1825"/>
    <w:rsid w:val="00EB2C30"/>
    <w:rsid w:val="00EC5178"/>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3681"/>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8B1F1F"/>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FE3681"/>
    <w:pPr>
      <w:ind w:left="720"/>
      <w:contextualSpacing/>
      <w:jc w:val="left"/>
    </w:pPr>
    <w:rPr>
      <w:rFonts w:ascii="Calibri" w:eastAsiaTheme="minorHAnsi" w:hAnsi="Calibri" w:cs="Calibri"/>
      <w:sz w:val="22"/>
      <w:szCs w:val="22"/>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qFormat/>
    <w:rsid w:val="00FE3681"/>
    <w:rPr>
      <w:rFonts w:ascii="Calibri" w:eastAsiaTheme="minorHAnsi" w:hAnsi="Calibri" w:cs="Calibri"/>
      <w:sz w:val="22"/>
      <w:szCs w:val="22"/>
      <w:lang w:eastAsia="en-US"/>
    </w:rPr>
  </w:style>
  <w:style w:type="paragraph" w:customStyle="1" w:styleId="Normal1">
    <w:name w:val="Normal1"/>
    <w:basedOn w:val="Normal"/>
    <w:rsid w:val="007E5658"/>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51210-7164-448B-A586-42049EBD3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19343</Words>
  <Characters>11027</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Enerģētikas likumā"</dc:subject>
  <dc:creator>Āboliņa I.</dc:creator>
  <dc:description>Sagatavots ALS E-aprites vidē.</dc:description>
  <cp:lastModifiedBy>Inese Karpoviča</cp:lastModifiedBy>
  <cp:revision>2</cp:revision>
  <cp:lastPrinted>2007-06-25T10:49:00Z</cp:lastPrinted>
  <dcterms:created xsi:type="dcterms:W3CDTF">2021-12-03T11:15:00Z</dcterms:created>
  <dcterms:modified xsi:type="dcterms:W3CDTF">2021-12-03T11:15:00Z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