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24-TA-2018: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Likumprojekts "Grozījumi Krimināllikumā"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šā panta pirmajā daļā paredzēto noziedzīgo nodarījumu, ja tas izdarīts lielā apmērā vai ja to izdarījusi organizēta grupa,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divpadsmit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attiecībā uz grozījumiem Krimināllikuma 84.panta ceturtās daļas un Krimināllikuma 84.</w:t>
            </w:r>
            <w:r w:rsidR="00000000" w:rsidRPr="00000000" w:rsidDel="00000000">
              <w:rPr>
                <w:vertAlign w:val="superscript"/>
                <w:rtl w:val="0"/>
              </w:rPr>
              <w:t xml:space="preserve">1</w:t>
            </w:r>
            <w:r w:rsidR="00000000" w:rsidRPr="00000000" w:rsidDel="00000000">
              <w:rPr>
                <w:rtl w:val="0"/>
              </w:rPr>
              <w:t xml:space="preserve"> panta ceturtās daļas sankcijā nepieciešams ietvert atsauci uz papildsodu “konfiscējot mantu vai bez mantas konfiskācijas”, lai salāgotu regulējumu ar Krimināllikuma 190.1 pantā paredzētajām sankcijām.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sanāksmē Iekšlietu ministrija ir informēta par Tieslietu ministrijas iesākto darbības virzienu, ar kuru Krimināllikuma sevišķās daļas pantu sankcijās vairs netiek ietverts tāds papildsods kā mantas konfiskācija, ņemot vērā, ka atbilstoši Krimināllikuma VIII</w:t>
            </w:r>
            <w:r w:rsidR="00000000" w:rsidRPr="00000000" w:rsidDel="00000000">
              <w:rPr>
                <w:vertAlign w:val="superscript"/>
                <w:rtl w:val="0"/>
              </w:rPr>
              <w:t xml:space="preserve">2</w:t>
            </w:r>
            <w:r w:rsidR="00000000" w:rsidRPr="00000000" w:rsidDel="00000000">
              <w:rPr>
                <w:rtl w:val="0"/>
              </w:rPr>
              <w:t xml:space="preserve"> nodaļas “Mantas īpašā konfiskācija” 70.</w:t>
            </w:r>
            <w:r w:rsidR="00000000" w:rsidRPr="00000000" w:rsidDel="00000000">
              <w:rPr>
                <w:vertAlign w:val="superscript"/>
                <w:rtl w:val="0"/>
              </w:rPr>
              <w:t xml:space="preserve">13</w:t>
            </w:r>
            <w:r w:rsidR="00000000" w:rsidRPr="00000000" w:rsidDel="00000000">
              <w:rPr>
                <w:rtl w:val="0"/>
              </w:rPr>
              <w:t xml:space="preserve"> pantam šajā gadījumā ir iespējama ar noziedzīgu nodarījumu saistītās mantas konfiskācija.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šā panta pirmajā daļā paredzēto noziedzīgo nodarījumu, ja tas izdarīts lielā apmērā vai ja to izdarījusi organizēta grupa,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divpadsmit gadiem.”.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84.</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84.</w:t>
            </w:r>
            <w:r w:rsidR="00000000" w:rsidRPr="00000000" w:rsidDel="00000000">
              <w:rPr>
                <w:vertAlign w:val="superscript"/>
                <w:rtl w:val="0"/>
              </w:rPr>
              <w:t xml:space="preserve">1</w:t>
            </w:r>
            <w:r w:rsidR="00000000" w:rsidRPr="00000000" w:rsidDel="00000000">
              <w:rPr>
                <w:rtl w:val="0"/>
              </w:rPr>
              <w:t xml:space="preserve"> pants. Eiropas Savienības noteikto sankciju pārkāpšana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Eiropas Savienības noteikto sankciju pārkāpšanu, iegādājoties, realizējot, pārvietojot pāri Latvijas Republikas valsts robežai sankcijām pakļautās preces, vai sniedzot starpniecības pakalpojumus, tehniskās palīdzības vai citus ar minētajām precēm saistītus pakalpojumus, vai veicot jebkādas citas aizliegtas darbības ar šīm precēm, ja tas izdarīts ievērojamā apmērā, vai par citu Eiropas Savienības noteikto sankciju pārkāpšanu,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pieciem gadiem vai ar īslaicīgu brīvības atņemšanu, vai ar probācijas uzraudzību, vai ar sabiedrisko darbu, vai ar naudas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Eiropas Savienības noteikto sankciju pārkāpšanu, iegādājoties, realizējot, pārvietojot pāri Latvijas Republikas valsts robežai sankcijām pakļautās stratēģiskas nozīmes preces, šaujamieročus, šaujamieroča būtiskās sastāvdaļas, šaujamieroča munīcijas vai militāriem mērķiem paredzētas preces vai tehnoloģijas, vai sniedzot starpniecības pakalpojumus, tehniskās palīdzības vai citus ar minētajām precēm saistītus pakalpojumus, vai veicot jebkādas citas aizliegtas darbības ar šīm precēm,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astoņiem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šā panta pirmajā vai otrajā daļā paredzēto noziedzīgo nodarījumu, ja to izdarījusi personu grupa pēc iepriekšējas vienošanās vai ja to izdarījusi valsts amatpersona vai uzņēmuma (uzņēmējsabiedrības) vai organizācijas atbildīgs darbinieks,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desmit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šā panta pirmajā vai otrajā daļā paredzēto noziedzīgo nodarījumu, ja tas izdarīts lielā apmērā vai ja to izdarījusi organizēta grupa,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divpadsmit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norādīts, ka 2024. gada 11. aprīļa sēdē ģenerālprokurors vērsa valdības uzmanību, ka strauji pieaugošo kriminālprocesu skaita dēļ, kas objektīvi ir saistīts ar noteikto sankciju kontroli un pārkāpumu atklāšanu, pastāv būtiski riski izdarīt savlaicīgu izmeklēšanu un panākt ātru un efektīvu krimināltiesisko attiecību taisnīgu noregulējumu, kā arī nodrošināt motivēta personāla attīstību. Līdz ar to tika ierosināts apsvērt iespēju par Eiropas Savienības noteikto sankciju pārkāpšanu paredzēt kriminālatbildību, ar nosacījumu, ja preču vērtība ir lielāka par 10 000 EUR.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skaidrots, ka Eiropas Parlamenta un Padomes 2024. gada 24. aprīļa direktīvas (ES) 2024/1226 par noziedzīgu nodarījumu un sodu noteikšanu attiecībā uz Savienības ierobežojošo pasākumu pārkāpumiem un ar ko groza Direktīvu (ES) 2018/1673 (turpmāk - Direktīva) 3. panta 1. punkta a) – i) apakšpunktā ir uzskaitīti iespējamie Eiropas Savienības ierobežojošo pasākumu veidi, kas dalībvalstīs ir atzīstami par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Direktīvas 3. panta 2. punktā noteikts, ka dalībvalstis var paredzēt, ka šāda rīcība nav noziedzīgs nodarījums: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ja šā panta 1. punkta a), b) un h) apakšpunktā uzskaitītā rīcība ietver līdzekļus vai saimnieciskos resursus, kuru vērtība ir mazāka nekā 10 000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ja šā panta 1. punkta d)–g) un i) apakšpunktā uzskaitītā rīcība ietver preces, pakalpojumus, darījumus vai darbības, kuru vērtība ir mazāka nekā 10 000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uzsverot pastāvošo ģeopolitiski sarežģīto situāciju sankciju pārkāpumu jomā, kā arī būtisko izmeklēšanas resursu trūkumu un konstatētos riskus izdarīt savlaicīgu izmeklēšanu visos uzsāktajos kriminālprocesos, ar likumprojektu tiek piedāvāts izmantot Direktīvā piedāvāto rīcības brīvību, kas pieļauj par atsevišķiem Direktīvas 3. panta 1. punktā paredzētajiem noziedzīgajiem nodarījumiem, ja minētā rīcība nepārsniedz 10 000 EUR apmēru, piemērot administratīvo atbildību.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iepazīstoties ar likumprojekta anotāciju, ir secinājusi, ka, neskatoties uz Krimināllikumā spēkā esošo normu, kas šobrīd paredz atbildību par Apvienoto Nāciju Organizācijas, Eiropas Savienības un citu starptautisko organizāciju noteikto sankciju vai par Latvijas Republikas noteikto nacionālo sankciju pārkāpšanu, proti, neaprobežojot dispozīciju ar apmēriem vai citām kvalificējošām pazīmēm, Valsts ieņēmumu dienesta konstatētais pārkāpumu skaits, kas saistīti ar sankciju neievērošanu, saglabājas augstā līmenī.  Kā tas izriet no likumprojekta anotācijas, tādējādi netiek sasniegts Kriminālprocesa likuma 1. pantā ietvertais mērķis atturēt personas no sektorālajām sankcijām pakļauto preču ievešanas (importēšanas) un izvešanas (eksportēšanas).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ieskatā, ja ir konstatējams, ka ar Krimināllikumā spēkā esošo regulējumu netiek sasniegts Kriminālprocesa likuma 1. pantā ietvertais mērķis atturēt personas no nozieguma izdarīšanas, drīzāk ir jāuzsāk diskusija par noteiktā soda apmēra paaugstināšanu, nevis jārisina konstatētais ar dekriminalizācijas procedūras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Iekšlietu ministrija norāda, ka izmeklēšanas resursu trūkums un līdz ar to konstatētais risks saistībā ar savlaicīgu izmeklēšanu visos uzsāktajos kriminālprocesos, nevar būt par pamatu dikriminalizācijas procedūrai. Attiecīgi minēto problēmjautājumu risināšanai būtu izmantojami citi līdzekļi, piemēram, nosakot pārkāpumu atklāšanas prioritātes atkarībā no konstatētajām sankciju pārkāpumu tendencēm.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atsevišķu sankciju pārkāpumu dekrimnalizācija, kas konkrētajā gadījumā paredz administratīvās atbildības noteikšanu par minētajiem pārkāpumiem, nemazinās Valsts ieņēmumu dienesta veikto pārbaužu skaitu, jo atbilstoši likumprojektam  “Grozījumi Starptautisko un Latvijas Republikas nacionālo sankciju likumā” (24-TA-2318) administratīvā pārkāpuma procesu par "Eiropas Savienības noteikto sankciju pārkāpšanu, iegādājoties, realizējot vai pārvietojot pāri Latvijas Republikas valsts robežai sankcijām pakļautās preces vai sniedzot starpniecības pakalpojumus, tehniskās palīdzības vai citus ar minētajām precēm saistītus pakalpojumus, vai veicot jebkādas citas aizliegtas darbības ar šīm precēm" veic Valsts ieņēmumu dienests.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Iekšlietu ministrija neatbalsta likumprojekta virzību piedāvātajā redakcijā, jo Iekšlietu ministrijas ieskatā likumprojekta anotācijā iezīmētie mērķi ar likumprojektā noteikto netiek sasniegti un tos var sasniegt ar citiem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vēršam uzmanību, ka Valsts ieņēmumu dienestam jebkurā gadījumā ir jāveic visu ievedamo preču pārbaudes, lai konstatētu to ievešanas pieļaujamību.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anotācijā precizēta atbilstoši Iekšlietu ministrijas iebildumam, norādot, ka administratīvās atbildības paredzēšana par visformālāko sankciju pārkāpumiem varētu nodrošināt efektīvāku pārkāpumu izmeklēšanu un vainīgās personas saukšanu pie atbildības, jo administratīvā pārkāpuma process laika ziņā ir efektīvāks un tas nodrošina personas tūlītēju sodīšanu.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vēršama uzmanība uz Noziedzības novēršanas padomes 2024. gada 13. novembra sēdes protokola Nr. 25 2. § 4. punktu, saskaņā ar kuru Noziedzības novēršanas padomes sēdes locekļi nolēma atbalstīt administratīvās atbildības noteikšanu par darbībām ar sankcijām pakļautām atsevišķu kategoriju precēm, ja to vērtība nepārsniedz 10 000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84.</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84.</w:t>
            </w:r>
            <w:r w:rsidR="00000000" w:rsidRPr="00000000" w:rsidDel="00000000">
              <w:rPr>
                <w:vertAlign w:val="superscript"/>
                <w:rtl w:val="0"/>
              </w:rPr>
              <w:t xml:space="preserve">1</w:t>
            </w:r>
            <w:r w:rsidR="00000000" w:rsidRPr="00000000" w:rsidDel="00000000">
              <w:rPr>
                <w:rtl w:val="0"/>
              </w:rPr>
              <w:t xml:space="preserve"> pants. Eiropas Savienības noteikto sankciju pārkāpšana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Eiropas Savienības noteikto sankciju pārkāpšanu, iegādājoties, realizējot, pārvietojot pāri Latvijas Republikas valsts robežai sankcijām pakļautās preces, vai sniedzot starpniecības pakalpojumus, tehniskās palīdzības vai citus ar minētajām precēm saistītus pakalpojumus, vai veicot jebkādas citas aizliegtas darbības ar šīm precēm, ja tas izdarīts ievērojamā apmērā, vai par citu Eiropas Savienības noteikto sankciju pārkāpšanu,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pieciem gadiem vai ar īslaicīgu brīvības atņemšanu, vai ar probācijas uzraudzību, vai ar sabiedrisko darbu, vai ar naudas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Eiropas Savienības noteikto sankciju pārkāpšanu, iegādājoties, realizējot, pārvietojot pāri Latvijas Republikas valsts robežai sankcijām pakļautās stratēģiskas nozīmes preces, šaujamieročus, šaujamieroča būtiskās sastāvdaļas, šaujamieroča munīcijas vai militāriem mērķiem paredzētas preces vai tehnoloģijas, vai sniedzot starpniecības pakalpojumus, tehniskās palīdzības vai citus ar minētajām precēm saistītus pakalpojumus, vai veicot jebkādas citas aizliegtas darbības ar šīm precēm,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astoņiem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šā panta pirmajā vai otrajā daļā paredzēto noziedzīgo nodarījumu, ja to izdarījusi personu grupa pēc iepriekšējas vienošanās vai ja to izdarījusi valsts amatpersona vai uzņēmuma (uzņēmējsabiedrības) vai organizācijas atbildīgs darbinieks,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desmit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šā panta pirmajā vai otrajā daļā paredzēto noziedzīgo nodarījumu, ja tas izdarīts lielā apmērā vai ja to izdarījusi organizēta grupa,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divpadsmit gadiem.”.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84.</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84.</w:t>
            </w:r>
            <w:r w:rsidR="00000000" w:rsidRPr="00000000" w:rsidDel="00000000">
              <w:rPr>
                <w:vertAlign w:val="superscript"/>
                <w:rtl w:val="0"/>
              </w:rPr>
              <w:t xml:space="preserve">1</w:t>
            </w:r>
            <w:r w:rsidR="00000000" w:rsidRPr="00000000" w:rsidDel="00000000">
              <w:rPr>
                <w:rtl w:val="0"/>
              </w:rPr>
              <w:t xml:space="preserve"> pants. Eiropas Savienības noteikto sankciju pārkāpšana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Eiropas Savienības noteikto sankciju pārkāpšanu, iegādājoties, realizējot, pārvietojot pāri Latvijas Republikas valsts robežai sankcijām pakļautās preces, vai sniedzot starpniecības pakalpojumus, tehniskās palīdzības vai citus ar minētajām precēm saistītus pakalpojumus, vai veicot jebkādas citas aizliegtas darbības ar šīm precēm, ja tas izdarīts ievērojamā apmērā, vai par citu Eiropas Savienības noteikto sankciju pārkāpšanu,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pieciem gadiem vai ar īslaicīgu brīvības atņemšanu, vai ar probācijas uzraudzību, vai ar sabiedrisko darbu, vai ar naudas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Eiropas Savienības noteikto sankciju pārkāpšanu, iegādājoties, realizējot, pārvietojot pāri Latvijas Republikas valsts robežai sankcijām pakļautās stratēģiskas nozīmes preces, šaujamieročus, šaujamieroča būtiskās sastāvdaļas, šaujamieroča munīcijas vai militāriem mērķiem paredzētas preces vai tehnoloģijas, vai sniedzot starpniecības pakalpojumus, tehniskās palīdzības vai citus ar minētajām precēm saistītus pakalpojumus, vai veicot jebkādas citas aizliegtas darbības ar šīm precēm,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astoņiem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šā panta pirmajā vai otrajā daļā paredzēto noziedzīgo nodarījumu, ja to izdarījusi personu grupa pēc iepriekšējas vienošanās vai ja to izdarījusi valsts amatpersona vai uzņēmuma (uzņēmējsabiedrības) vai organizācijas atbildīgs darbinieks,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desmit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šā panta pirmajā vai otrajā daļā paredzēto noziedzīgo nodarījumu, ja tas izdarīts lielā apmērā vai ja to izdarījusi organizēta grupa,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divpadsmit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tas izriet no likumprojekta anotācijas, pamata iemesls piedāvātājiem grozījumiem Krimināllikumā, papildinot to ar 84.</w:t>
            </w:r>
            <w:r w:rsidR="00000000" w:rsidRPr="00000000" w:rsidDel="00000000">
              <w:rPr>
                <w:vertAlign w:val="superscript"/>
                <w:rtl w:val="0"/>
              </w:rPr>
              <w:t xml:space="preserve">1</w:t>
            </w:r>
            <w:r w:rsidR="00000000" w:rsidRPr="00000000" w:rsidDel="00000000">
              <w:rPr>
                <w:rtl w:val="0"/>
              </w:rPr>
              <w:t xml:space="preserve">pantu ir saistīts ar problēmsituāciju, kas ir izveidojusies Valsts ieņēmumu dienestā gan attiecībā uz izmeklēšanas resursu trūkumu, gan attiecībā uz iespēju nodrošināt savlaicīgu kriminālprocesu izmeklēšanu par sankciju pārkāpumiem. Attiecīgi tiek piedāvāts izmantot Direktīvas 3. panta 2. punktā noteikto rīcības brīvību par atsevišķiem Direktīvas 3. panta 1. punktā ietvertajiem noziedzīgajiem nodarījumiem piemērot administratīvo atbildību, ja attiecīgā rīcība nepārsniedz 10 000 EUR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norādīts, ka, ievērojot valstī konstatētos riskus sankciju noziegumu efektīvas izmeklēšanas jomā, tika secināts, ka par Direktīvas 3. panta 1. punkta e) apakšpunktā paredzēto noziedzīgo nodarījumu, kas ietver aizliegumu tirgot, importēt, eksportēt, pārdot, pirkt, nodot, pārvest tranzītā vai transportēt preces, kā arī sniegt starpniecības pakalpojumus, tehniskās palīdzības vai citus ar minētajām precēm saistītus pakalpojumus, turpmāk nebūtu lietderīgi personu saukt pie kriminālatbildības, ja minētā rīcība ietver preces, pakalpojumus, darījumus vai darbības, kuru vērtība ir mazāka nekā 10 000 EUR. Tādējādi Krimināllikuma 84.</w:t>
            </w:r>
            <w:r w:rsidR="00000000" w:rsidRPr="00000000" w:rsidDel="00000000">
              <w:rPr>
                <w:vertAlign w:val="superscript"/>
                <w:rtl w:val="0"/>
              </w:rPr>
              <w:t xml:space="preserve">1</w:t>
            </w:r>
            <w:r w:rsidR="00000000" w:rsidRPr="00000000" w:rsidDel="00000000">
              <w:rPr>
                <w:rtl w:val="0"/>
              </w:rPr>
              <w:t xml:space="preserve"> panta pirmajā daļā tiek noteikts, ka par iepriekš minēto darbību izdarīšanu personu turpmāk būs iespējams saukt pie kriminālatbildības tikai tad, ja minētās darbības ir izdarītas ievērojamā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savas kompetences ietvaros ir izvērtējusi Tieslietu ministrijas izstrādāto Krimināllikuma 84.</w:t>
            </w:r>
            <w:r w:rsidR="00000000" w:rsidRPr="00000000" w:rsidDel="00000000">
              <w:rPr>
                <w:vertAlign w:val="superscript"/>
                <w:rtl w:val="0"/>
              </w:rPr>
              <w:t xml:space="preserve">1</w:t>
            </w:r>
            <w:r w:rsidR="00000000" w:rsidRPr="00000000" w:rsidDel="00000000">
              <w:rPr>
                <w:rtl w:val="0"/>
              </w:rPr>
              <w:t xml:space="preserve"> panta pirmo daļu  un norāda, ka piedāvātajā redakcijā termini "iegādāšanās", "realizācija", "starpniecības pakalpojumu sniegšana", "tehniskās palīdzības vai citu ar minētajām precēm saistītu pakalpojumu sniegšana", būtībā neattiecas tikai uz tādām darbībām, kas varētu tikt īstenotas tikai un vienīgi ārējas robežas šķērsošanas laikā. Attiecīgi rodas jautājums, vai piedāvātā likumprojekta 2.panta redakcija skar tieši Valsts ieņēmumu dienesta kompetenci un līdz ar to arī tā resursu iesaisti. Vēršam uzmanību, ka iegādāties un realizēt sankcionētās preces, kā arī sniegt pakalpojumus saistībā ar minētajām precēm var arī valsts iekšienē, līdz ar ko šādu darbību kontrole attiecīgi būs ārpus Valsts ieņēmuma dienesta kompetences tvēruma.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anotācijā ir norādīts, ka praksē pārkāpumi attiecībā uz sankcijām pakļautajām precēm pamatā tiek konstatēti, preces faktiski pārvietojot vai paredzot to pārvietošanu pāri valsts ārējai robežai, t.i. Eiropas Savienības robežai ar trešajām valstīm. Taču no likumprojektā ietvertās Krimināllikuma 84.</w:t>
            </w:r>
            <w:r w:rsidR="00000000" w:rsidRPr="00000000" w:rsidDel="00000000">
              <w:rPr>
                <w:vertAlign w:val="superscript"/>
                <w:rtl w:val="0"/>
              </w:rPr>
              <w:t xml:space="preserve">1</w:t>
            </w:r>
            <w:r w:rsidR="00000000" w:rsidRPr="00000000" w:rsidDel="00000000">
              <w:rPr>
                <w:rtl w:val="0"/>
              </w:rPr>
              <w:t xml:space="preserve"> panta pirmās daļas redakcijas minētais secinājums neizriet, jo sods ir paredzēts par Eiropas Savienības noteikto sankciju pārkāpšanu, pārvietojot </w:t>
            </w:r>
            <w:r w:rsidR="00000000" w:rsidRPr="00000000" w:rsidDel="00000000">
              <w:rPr>
                <w:u w:val="single"/>
                <w:rtl w:val="0"/>
              </w:rPr>
              <w:t xml:space="preserve">pāri Latvijas Republikas valsts robežai </w:t>
            </w:r>
            <w:r w:rsidR="00000000" w:rsidRPr="00000000" w:rsidDel="00000000">
              <w:rPr>
                <w:rtl w:val="0"/>
              </w:rPr>
              <w:t xml:space="preserve">sankcijām pakļautās preces. Tātad gramatiski lasot normu, minētais attiecas uz ārējo un iekšējo robežu.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ja tiek atbalstīta turpmāka likumprojekta virzība Tieslietu ministrijas konceptuālajā piedāvājumā, proti, noziegumu dekriminālizācija Valsts ieņēmumu dienesta resursu pasargāšanas dēļ, Iekšlietu ministrija lūdz izteikt Krimināllikuma 84.</w:t>
            </w:r>
            <w:r w:rsidR="00000000" w:rsidRPr="00000000" w:rsidDel="00000000">
              <w:rPr>
                <w:vertAlign w:val="superscript"/>
                <w:rtl w:val="0"/>
              </w:rPr>
              <w:t xml:space="preserve">1</w:t>
            </w:r>
            <w:r w:rsidR="00000000" w:rsidRPr="00000000" w:rsidDel="00000000">
              <w:rPr>
                <w:rtl w:val="0"/>
              </w:rPr>
              <w:t xml:space="preserve">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noteikto sankciju pārkāpšanu, pārvietojot pāri Latvijas Republikas valsts ārējai robežai sankcijām pakļautās preces, ja tas izdarīts ievērojamā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attiecīgi ir vērsta uz konstatētās problēmsituācijas risināšanu tieši Valsts ieņēmumu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arī likumprojektā ietverto Krimināllikuma 84.</w:t>
            </w:r>
            <w:r w:rsidR="00000000" w:rsidRPr="00000000" w:rsidDel="00000000">
              <w:rPr>
                <w:vertAlign w:val="superscript"/>
                <w:rtl w:val="0"/>
              </w:rPr>
              <w:t xml:space="preserve">1 </w:t>
            </w:r>
            <w:r w:rsidR="00000000" w:rsidRPr="00000000" w:rsidDel="00000000">
              <w:rPr>
                <w:rtl w:val="0"/>
              </w:rPr>
              <w:t xml:space="preserve">panta otro daļu, kā arī likumprojekta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noteikto sankciju pārkāpšanu, pārvietojot pāri Latvijas Republikas valsts ārējai robežai sankcijām pakļautās preces, ja tas izdarīts ievērojamā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sanāksmē Iekšlietu ministrija informēta, ka, lai atbilstoši pārņemtu Direktīvas prasības, Direktīvas 3. panta 1. punkta e) apakšpunkts ir pārņemams pilnībā, nosakot aizliegumu ne tikai importēt vai eksportēt preci, bet arī tirgot, pārdot, pirkt, nodot, pārvest tranzītā vai transportēt preces, kā arī sniegt starpniecības pakalpojumus, tehniskās palīdzības vai citus ar minētajām precēm saistītus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84.</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84.</w:t>
            </w:r>
            <w:r w:rsidR="00000000" w:rsidRPr="00000000" w:rsidDel="00000000">
              <w:rPr>
                <w:vertAlign w:val="superscript"/>
                <w:rtl w:val="0"/>
              </w:rPr>
              <w:t xml:space="preserve">1</w:t>
            </w:r>
            <w:r w:rsidR="00000000" w:rsidRPr="00000000" w:rsidDel="00000000">
              <w:rPr>
                <w:rtl w:val="0"/>
              </w:rPr>
              <w:t xml:space="preserve"> pants. Eiropas Savienības noteikto sankciju pārkāpšana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Eiropas Savienības noteikto sankciju pārkāpšanu, iegādājoties, realizējot, pārvietojot pāri Latvijas Republikas valsts robežai sankcijām pakļautās preces, vai sniedzot starpniecības pakalpojumus, tehniskās palīdzības vai citus ar minētajām precēm saistītus pakalpojumus, vai veicot jebkādas citas aizliegtas darbības ar šīm precēm, ja tas izdarīts ievērojamā apmērā, vai par citu Eiropas Savienības noteikto sankciju pārkāpšanu,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pieciem gadiem vai ar īslaicīgu brīvības atņemšanu, vai ar probācijas uzraudzību, vai ar sabiedrisko darbu, vai ar naudas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Eiropas Savienības noteikto sankciju pārkāpšanu, iegādājoties, realizējot, pārvietojot pāri Latvijas Republikas valsts robežai sankcijām pakļautās stratēģiskas nozīmes preces, šaujamieročus, šaujamieroča būtiskās sastāvdaļas, šaujamieroča munīcijas vai militāriem mērķiem paredzētas preces vai tehnoloģijas, vai sniedzot starpniecības pakalpojumus, tehniskās palīdzības vai citus ar minētajām precēm saistītus pakalpojumus, vai veicot jebkādas citas aizliegtas darbības ar šīm precēm,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astoņiem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šā panta pirmajā vai otrajā daļā paredzēto noziedzīgo nodarījumu, ja to izdarījusi personu grupa pēc iepriekšējas vienošanās vai ja to izdarījusi valsts amatpersona vai uzņēmuma (uzņēmējsabiedrības) vai organizācijas atbildīgs darbinieks,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desmit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šā panta pirmajā vai otrajā daļā paredzēto noziedzīgo nodarījumu, ja tas izdarīts lielā apmērā vai ja to izdarījusi organizēta grupa,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divpadsmit gadiem.”.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3. panta 2. punkta pēdējais teikums nosaka, ka dalībvalstis veic pasākumus, kas vajadzīgi, lai nodrošinātu, ka robežvērtību 10 000 EUR vai lielākā apmērā var sasniegt ar tādu rīcību virkni, kas uzskaitītas šā panta 1. punkta a), b) un d)–i) apakšpunktā un kas ir saistītas un tāda paša veida, ja minēto rīcību ir veicis viens un tas pats pārkāpējs.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norādīts "Turklāt jāņem vērā, ka atbilstoši Direktīvas 3. panta 2. punktā noteiktajam iepriekš minēto robežvērtību 10 000 EUR apmērā var sasniegt arī savā starpā saistītu darbību virkne, ja tās ir veikusi viena un tā pati persona. Iepriekš minētais atbilst krimināltiesību teorijā nostiprinātajam atsevišķa turpināta noziedzīga nodarījuma pazīmēm, ko veido vairākas savstarpēji saistītas tādas pašas noziedzīgas darbības, kas vērstas uz kopēju mērķi, ja tās aptver vainīgās personas vienots nodoms, tāpēc savā kopumā tās veido vienu noziedzīgu nodarījumu (KL 23.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sankciju galvenais mērķis ir panākt, lai tie, pret ko tās vērstas, mainītu savu politiku vai rīcību, un to nolūks ir sekmēt ārpolitikas un drošības politikas mērķu sasniegšanu. Attiecīgi ekonomiskās sankcijas ir domātas: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efektīvi vājinātu attiecīgās valsts tautsaimniecību un ekonomiku, neļaujot attiecīgajai valstij turpināt agresiju;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arī neļaut konkrētām precēm un pakalpojumiem nonākt attiecīgajā valstī, tādējādi novēršot iespēju tai izmantot minētās preces un pakalpojumus agresijas īstenošanā izmantotajās tehnoloģijās.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ieskatā Tieslietu ministrijas anotācijā sniegtais skaidrojums, ka Direktīvas 3.panta 2.punkta pēdējā teikumā paredzētais ir aptverts ar Krimināllikuma 23. panta trešajā daļā atsevišķa turpināta noziedzīga nodarījuma pazīmēm, ir diskutabls, jo, pirmkārt, atbilstoši likumprojekta izstrādātajai Krimināllikuma 84.</w:t>
            </w:r>
            <w:r w:rsidR="00000000" w:rsidRPr="00000000" w:rsidDel="00000000">
              <w:rPr>
                <w:vertAlign w:val="superscript"/>
                <w:rtl w:val="0"/>
              </w:rPr>
              <w:t xml:space="preserve">1</w:t>
            </w:r>
            <w:r w:rsidR="00000000" w:rsidRPr="00000000" w:rsidDel="00000000">
              <w:rPr>
                <w:rtl w:val="0"/>
              </w:rPr>
              <w:t xml:space="preserve">panta pirmajai daļai sankcionēto preču realizācija, nesasniedzot 10 000 EUR apmēru, nebūs uzskatāma par noziedzīgu darbību, otrkārt, varētu rasties problēmas ar nodoma pierādīšanu, jo ne visos gadījumos komersants būs realizējis preces ar mērķi atbalstīt sankcionētās valsts agresiju vai palīdzēt tai izmantot konkrētās preces/pakalpojumus agresijā izmantoto tehnoloģiju ražošanā.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likumprojekts attiecīgi ir papildināms ar precīzu regulējumu, kas izriet no Direktīvas 2024/1226 3. panta 2. punkta pēdējā teikumā esošās prasības, tādējādi liedzot iespēju apiet sankcijas un izvairīties no kriminālatbildības, ļaunprātīgi izmantojot sankciju dekriminalizācijas ietvaros piedāvāto risinājumu.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anotācijā precizēta atbilstoši Iekšlietu ministrijas iebildumam, skaidrojot, ka gadījumā, ja persona veic vairākas noziedzīgas darbības, kuru apmērs nesasniedz tiesību normā noteikto 10 000 EUR robežvērtību, bet no lietas apstākļiem ir iespējams secināt, ka personas veiktās darbības ir savstarpēji saistītas, vērstas uz kopēju mērķi un tās aptver vainīgās personas vienots nodoms, ir nepieciešams lemt par kriminālatbildības noteikšanu atbilstoši jaunā KL 84.</w:t>
            </w:r>
            <w:r w:rsidR="00000000" w:rsidRPr="00000000" w:rsidDel="00000000">
              <w:rPr>
                <w:vertAlign w:val="superscript"/>
                <w:rtl w:val="0"/>
              </w:rPr>
              <w:t xml:space="preserve">1</w:t>
            </w:r>
            <w:r w:rsidR="00000000" w:rsidRPr="00000000" w:rsidDel="00000000">
              <w:rPr>
                <w:rtl w:val="0"/>
              </w:rPr>
              <w:t xml:space="preserve"> panta attiecīgajai daļai kopsakarā ar KL 23. panta trešo daļu. Tāpat arī gadījumā, ja vairākas personas veic atsevišķas noziedzīgas darbības, kuru apmērs nesasniedz 10 000 EUR robežvērtību, taču no lietas faktiskajiem un tiesiskajiem apstākļiem ir secināms, ka personu veiktās darbības nav atsevišķs pārkāpums, bet gan kopīgas darbības, kas vērstas uz kopēja noziedzīga nodarījuma izdarīšanu, attiecīgajā situācijā ir pamats lemt par personu grupas esamību KL 19. panta tvērumā. Proti, saskaņā ar KL 19. pantu sodāmas ir arī tādas apzinātas noziedzīgas darbības, ar kurām tīšu noziedzīgu nodarījumu kopīgi, to apzinoties, tieši izdarījušas divas vai vairākas personas (tas ir, grupa).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pašreiz likumprojekta anotācijā ietverto terminu “militāriem mērķiem paredzētas preces vai tehnoloģijas” un tā skaidrojumu ietvert Starptautisko un Latvijas Republikas nacionālo sankciju likumā (24-TA-2318), lai termina saturs tiktu atklāts arī ārējā normatīvajā aktā, nevis tikai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Anotācija ir tiesību akta palīgavots, kas tiesību piemērotājam var palīdzēt iztulkot tiesību normas. Krimināltiesību sistēmā nebūtu pieļaujama konkrētu preču KN kodu vai skaidrojuma ietveršana likumprojekta anotācijā, lai piemērotu kriminālatbildību, atsaucoties uz Krimināllikuma normu un anotācijā minētām pazīmēm (konkrētu preču saraksts vai termina, kas aptver noteiktu preču grupu vai kategoriju, skaidrojums). Vēršam uzmanību uz Augstākās tiesas Senāta Administratīvo lietu departamenta 2024.gada 27.februāra spriedumā lietā Nr. A420214322, SKA-335/2024 iekļauto atziņu, ka “.. vispārsaistoša ir likumdevēja pieņemtā tiesību norma, nevis attiecīgā likumprojekta izstrādātāju sākotnējais nodoms, kuru atspoguļo likumprojekta anotācija, tostarp arī gadījumos, ja tiesību normas teksta formulēšanā pieļauta kļūda vai neveiksmīgi izteikts likumprojekta izstrādātāju nodoms. Pretēji likuma tekstam nevar kā tiesību normu konstatēt un piemērot likumprojekta izstrādātāju nodomu, kas ietverts tikai likumprojekta anotācijā. Tas būtu pretēji tiesiskās noteiktības un paredzamības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preču pastāvīgās mainības dēļ nav iespējams izstrādāt militāriem mērķiem paredzētu preču vai tehnoloģiju sarakstu, informācija anotācijā precizēta, norādot, ka uzskaitīto preču saraksts ir indikatīvi apzināts uz likumprojekta izstrādes brīdi un tas nav izsmeļošs un laika gaitā var mainīties. Līdz ar to minētais preču uzskaitījums ir ietverts likumprojekta anotācijā vien nolūkā palīdzēt tiesību normu piemērotājiem izprast attiecīgās tiesību normas saturu un, lai izlemtu par kriminālatbildības piemērošanu, ir nepieciešams analizēt katra konkrētā gadījuma individuālos lietas apstākļus.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sadaļā par Krimināllikuma 84.</w:t>
            </w:r>
            <w:r w:rsidR="00000000" w:rsidRPr="00000000" w:rsidDel="00000000">
              <w:rPr>
                <w:vertAlign w:val="superscript"/>
                <w:rtl w:val="0"/>
              </w:rPr>
              <w:t xml:space="preserve">1</w:t>
            </w:r>
            <w:r w:rsidR="00000000" w:rsidRPr="00000000" w:rsidDel="00000000">
              <w:rPr>
                <w:rtl w:val="0"/>
              </w:rPr>
              <w:t xml:space="preserve"> panta otro daļu noteikts, ka “Visbeidzot ar jēdzienu “militāriem mērķiem paredzētas preces vai tehnoloģijas” saprotamas ES regulās minētās preces, piemēram, Regulas 833/2014 VII pielikuma A daļā, kurā iekļauti tikai preču apraksti ar raksturlielumiem, un VII pielikuma B daļā uzskaitītās preces (šis uzskaitīto preču saraksts ir indikatīvi apzināts uz likumprojekta izstrādes brīdi un tas nav izsmeļošs un laika gaitā var mainīties):”.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likumprojekta anotāciju ar atsauci uz citām Eiropas Savienības regulām par ierobežojošajiem pasākumiem, jo šāda redakcija var radīt maldīgu priekšstatu saistībā ar vienu ierobežojošo pasākumu režīmu.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likumprojekta anotācijas sadaļā par Krimināllikuma 84.</w:t>
            </w:r>
            <w:r w:rsidR="00000000" w:rsidRPr="00000000" w:rsidDel="00000000">
              <w:rPr>
                <w:vertAlign w:val="superscript"/>
                <w:rtl w:val="0"/>
              </w:rPr>
              <w:t xml:space="preserve">1</w:t>
            </w:r>
            <w:r w:rsidR="00000000" w:rsidRPr="00000000" w:rsidDel="00000000">
              <w:rPr>
                <w:rtl w:val="0"/>
              </w:rPr>
              <w:t xml:space="preserve"> panta otro daļu noteikts, ka “Ņemot vērā visu iepriekš minēto, KL 84.1 panta otrajā daļā ietvertais jēdziens “militāriem mērķiem paredzētas preces vai tehnoloģijas” ietver: 1) preces, kas uzskaitītas Regulas 833/2014 VII pielikuma A un B daļā, kā arī Regulas 833/2014 XI un XX pielikumā (likumprojekta anotācijā sniegts vien indikatīvs preču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arī ar citām atsaucēm uz Eiropas Savienības ierobežojošo pasākumu regulām, jo anotācijā ir ietvertas atsauces tikai uz regulām, kas vērstas pret Krievijas Federāciju, bet neaptver, piemēram, pret Baltkrieviju vērstos ierobežojošos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lietots vārds "piemēram", kas norāda, ka Eiropas Savienības tiesību aktu uzskaitījums nav izsmeļošs.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sadaļā, kurā skaidrots izstrādātā Krimināllikuma 84.</w:t>
            </w:r>
            <w:r w:rsidR="00000000" w:rsidRPr="00000000" w:rsidDel="00000000">
              <w:rPr>
                <w:vertAlign w:val="superscript"/>
                <w:rtl w:val="0"/>
              </w:rPr>
              <w:t xml:space="preserve">1</w:t>
            </w:r>
            <w:r w:rsidR="00000000" w:rsidRPr="00000000" w:rsidDel="00000000">
              <w:rPr>
                <w:rtl w:val="0"/>
              </w:rPr>
              <w:t xml:space="preserve"> panta pirmās daļas saturs noteikts, ka “Vienlaikus KL 84.1 pantā tiek lietoti arī tādi jēdzieni kā preces un pakalpojumi. Šajā sakarā norādāms, ka jēdziens “preces” KL 84.1 panta izpratnē ietver, piemēram, tādas preces, kā militāras tehnoloģijas, ekipējums, programmatūras un tehnoloģijas, kas ir iekļautas Eiropas Savienības Kopējā militāro preču sarakstā, kuru Padome pieņēma 2023. gada 20. februārī (8), vai ir uzskaitītas Eiropas Parlamenta un Padomes Regulas (ES) 2021/821 (9) I un IV pielikumā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attiecīgā skaidrojuma svītrošanu no šīs anotācijas sadaļas, ņemot vērā, ka saistībā ar iepriekšminētajām precēm un tehnoloģijām būtu piemērojama Krimināllikuma 84.</w:t>
            </w:r>
            <w:r w:rsidR="00000000" w:rsidRPr="00000000" w:rsidDel="00000000">
              <w:rPr>
                <w:vertAlign w:val="superscript"/>
                <w:rtl w:val="0"/>
              </w:rPr>
              <w:t xml:space="preserve">1</w:t>
            </w:r>
            <w:r w:rsidR="00000000" w:rsidRPr="00000000" w:rsidDel="00000000">
              <w:rPr>
                <w:rtl w:val="0"/>
              </w:rPr>
              <w:t xml:space="preserve">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anotācijā labots, norādot, ka: “</w:t>
            </w:r>
            <w:r w:rsidR="00000000" w:rsidRPr="00000000" w:rsidDel="00000000">
              <w:rPr>
                <w:i w:val="1"/>
                <w:rtl w:val="0"/>
              </w:rPr>
              <w:t xml:space="preserve">Vienlaikus KL 84.</w:t>
            </w:r>
            <w:r w:rsidR="00000000" w:rsidRPr="00000000" w:rsidDel="00000000">
              <w:rPr>
                <w:i w:val="1"/>
                <w:vertAlign w:val="superscript"/>
                <w:rtl w:val="0"/>
              </w:rPr>
              <w:t xml:space="preserve">1</w:t>
            </w:r>
            <w:r w:rsidR="00000000" w:rsidRPr="00000000" w:rsidDel="00000000">
              <w:rPr>
                <w:rtl w:val="0"/>
              </w:rPr>
              <w:t xml:space="preserve"> </w:t>
            </w:r>
            <w:r w:rsidR="00000000" w:rsidRPr="00000000" w:rsidDel="00000000">
              <w:rPr>
                <w:i w:val="1"/>
                <w:rtl w:val="0"/>
              </w:rPr>
              <w:t xml:space="preserve">pantā tiek lietoti arī tādi jēdzieni kā preces un pakalpojumi. Šajā sakarā norādāms, ka jēdziens “preces” KL 84.</w:t>
            </w:r>
            <w:r w:rsidR="00000000" w:rsidRPr="00000000" w:rsidDel="00000000">
              <w:rPr>
                <w:i w:val="1"/>
                <w:vertAlign w:val="superscript"/>
                <w:rtl w:val="0"/>
              </w:rPr>
              <w:t xml:space="preserve">1</w:t>
            </w:r>
            <w:r w:rsidR="00000000" w:rsidRPr="00000000" w:rsidDel="00000000">
              <w:rPr>
                <w:rtl w:val="0"/>
              </w:rPr>
              <w:t xml:space="preserve"> </w:t>
            </w:r>
            <w:r w:rsidR="00000000" w:rsidRPr="00000000" w:rsidDel="00000000">
              <w:rPr>
                <w:i w:val="1"/>
                <w:rtl w:val="0"/>
              </w:rPr>
              <w:t xml:space="preserve">panta izpratnē ietver jebkādu kustamu mantu, attiecībā uz kuru Eiropas Savienība ir noteikusi ierobežojošos pasākumus</w:t>
            </w:r>
            <w:r w:rsidR="00000000" w:rsidRPr="00000000" w:rsidDel="00000000">
              <w:rPr>
                <w:rtl w:val="0"/>
              </w:rPr>
              <w:t xml:space="preserve">.” (skaidrojums ņemts pēc līdzības ar KL 190.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sadaļā “Pašreizējais novērtējums” noteikts, ka “Pantā ietvertā tiesību norma ir uzskatāma par blanketu normu, jo tajā nav norādītas visas noziedzīgā nodarījuma sastāva pazīmes, bet tās atrodamas citos tiesību aktos vai vispārinātā, aprobētā tiesu praksē, šajā gadījumā – Eiropas Savienības regulās, piemēram, Padomes 2014. gada 31. jūlija regulā (ES) Nr. 833/2014 par ierobežojošiem pasākumiem saistībā ar Krievijas darbībām, kas destabilizē situāciju Ukrainā (turpmāk — Regula 833/2014),Padomes 2014. gada 17. marta regulā (ES) Nr. 269/2014 par ierobežojošiem pasākumiem attiecībā uz darbībām, ar ko tiek grauta vai apdraudēta Ukrainas teritoriālā integritāte, suverenitāte un neatkarība (turpmāk – Regula 269/2014)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uzskaitījumu arī ar norādēm uz citiem Eiropas Savienības noteiktajiem ierobežojošo pasākumu režīmiem, piemēram, Padomes Regula (EK) Nr. 765/2006 (2006. gada 18. maijs) par ierobežojošiem pasākumiem, ņemot vērā situāciju Baltkrievijā un Baltkrievijas iesaistīšanos Krievijas agresijā pret Ukrainu, kā arī ietvert norādi par citu sankciju režīmu, kuri var tikt skarti ar iecerētajiem grozījumiem, 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lietots vārds "piemēram", kas norāda, ka Eiropas Savienības tiesību aktu uzskaitījums nav izsmeļošs.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6. sadaļā ir norādīts, ka tiesību akta projektam ir jānodrošina sabiedrības līdzdalība, lūgums aizpildīt pārējās anotācijas sadaļas par veikto sabiedrības līdzdalību, norises laiku un vietu, tās rezultātiem. Vai arī precizēt šo sadaļu, norādot, ka sabiedrības līdzdalība uz šo tiesību aktu projektu neattiecas un norādīt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anotācijā precizēta, norādot, ka sabiedrības līdzdalība likumprojekta izstrādē nav nodrošināta, ievērojot Eiropas Parlamenta un Padomes 2024. gada 24. aprīļa direktīvā (ES) 2024/1226 par noziedzīgu nodarījumu un sodu noteikšanu attiecībā uz Savienības ierobežojošo pasākumu pārkāpumiem un ar ko groza Direktīvu (ES) 2018/1673, 20. pantā noteiktās prasības, kas uzliek par pienākumu pārņemt direktīvas prasības līdz 2025. gada 20. maijam.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24-TA-2018</w:t>
    </w:r>
    <w:r>
      <w:br/>
    </w:r>
    <w:r w:rsidR="00000000" w:rsidRPr="00000000" w:rsidDel="00000000">
      <w:rPr>
        <w:rtl w:val="0"/>
      </w:rPr>
      <w:t xml:space="preserve">20.12.2024. 13.05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24-TA-2018</w:t>
    </w:r>
    <w:r>
      <w:br/>
    </w:r>
    <w:r w:rsidR="00000000" w:rsidRPr="00000000" w:rsidDel="00000000">
      <w:rPr>
        <w:rtl w:val="0"/>
      </w:rPr>
      <w:t xml:space="preserve">20.12.2024. 13.05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Izziņa_24-TA-2018.docx</dc:title>
</cp:coreProperties>
</file>

<file path=docProps/custom.xml><?xml version="1.0" encoding="utf-8"?>
<Properties xmlns="http://schemas.openxmlformats.org/officeDocument/2006/custom-properties" xmlns:vt="http://schemas.openxmlformats.org/officeDocument/2006/docPropsVTypes"/>
</file>