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25-TA-2956: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nekustamā īpašuma “Liepiņas”, Gulbenē, Gulbenes novadā, pārdošanu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10.12.2025. 18:30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tiesību akta lietai pievienot valsts akciju sabiedrības “Valsts nekustamie īpašumi” 27.02.2025. vēstuli par aicinājumu noslēgt ceļa servitūta līgumu ar (zemes vienības kadastra apzīmējums 5001 008 0111) īpašnieku Raiņa ielā, Gulbenē, Gulbenes novadā.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r w:rsidR="00000000" w:rsidRPr="00000000" w:rsidDel="00000000">
              <w:rPr>
                <w:rtl w:val="0"/>
              </w:rPr>
              <w:t xml:space="preserve"> </w:t>
            </w:r>
            <w:r w:rsidR="00000000" w:rsidRPr="00000000" w:rsidDel="00000000">
              <w:rPr>
                <w:b w:val="1"/>
                <w:rtl w:val="0"/>
              </w:rPr>
              <w:t xml:space="preserve">1. </w:t>
            </w:r>
            <w:r w:rsidR="00000000" w:rsidRPr="00000000" w:rsidDel="00000000">
              <w:rPr>
                <w:rtl w:val="0"/>
              </w:rPr>
              <w:t xml:space="preserve">Anotācijas sadaļā “Pašreizējā situācija” norādīts, ka valsts akciju sabiedrības “Valsts nekustamie īpašumi” ar 27.02.2025. vēstuli Nr. 2/9-3/1534 aicināja minētās zemes vienības īpašnieku noslēgt ceļa servitūta līgumu, taču tiesību akta lietai nav pievienota minētā vēstule.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w:t>
            </w:r>
            <w:r w:rsidR="00000000" w:rsidRPr="00000000" w:rsidDel="00000000">
              <w:rPr>
                <w:rtl w:val="0"/>
              </w:rPr>
              <w:t xml:space="preserve"> Ministru kabineta 2021. gada 7. septembra noteikumu Nr. 606 "Ministru kabineta kārtības rullis" 44. punkts, saskaņā ar kuru, lai apliecinātu projektā regulēto tiesisko attiecību likumību, Tiesību akta lietai papildus pievieno nepieciešamo informāciju un dokumentus, bez kuru esības nav iespējams pieņemt lēmumu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Paskaidrojošajiem materiāliem pievienota VAS "Valsts nekustamie īpašumi” 27.02.2025. vēstule.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precizēt atsauci uz Civillikuma 416. pantu, nepārprotami norādot, ka bezmantinieka manta atbilstoši Civillikumam piekrīt publiskai personai likumā noteiktajos gadījumos, proti, valstij vai pašvaldībai, atkarībā no mantas veida un normatīvajos aktos noteiktā, un ka piekritība iestājas tikai pēc bezmantinieka mantas konstatēšanas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r w:rsidR="00000000" w:rsidRPr="00000000" w:rsidDel="00000000">
              <w:rPr>
                <w:rtl w:val="0"/>
              </w:rPr>
              <w:t xml:space="preserve"> Anotācijas sadaļā</w:t>
            </w:r>
            <w:r w:rsidR="00000000" w:rsidRPr="00000000" w:rsidDel="00000000">
              <w:rPr>
                <w:b w:val="1"/>
                <w:rtl w:val="0"/>
              </w:rPr>
              <w:t xml:space="preserve"> “Pašreizējā situācija”</w:t>
            </w:r>
            <w:r w:rsidR="00000000" w:rsidRPr="00000000" w:rsidDel="00000000">
              <w:rPr>
                <w:rtl w:val="0"/>
              </w:rPr>
              <w:t xml:space="preserve"> ir vispārīga atsauce uz Civillikuma 416. pantu, nenorādot konkrētu daļu. Tiesiskai skaidrībai un juridiskās precizitātes nolūkos būtu vēlams to norādīt.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norādīt, vai 04.03.2025. noslēgtais Zemes nomas līgums Nr. IEN/2025/261 ir ierakstīts zemesgrāmatā, ņemot vērā, ka tas var ietekmēt līguma saistošo spēku pret nekustamā īpašuma ieguvēju, tai skaitā skaidri norādot, vai līgums izbeidzas līdz ar atsavināšanu vai pāriet uz nekustamā īpašuma ieguvēju, kā arī norādot attiecīgo tiesisko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Publiskas personas mantas atsavināšanas likuma 44. panta astoto daļu zemes starpgabalu, kuram nav nodrošināts pieslēgums koplietošanas ceļam, drīkst atsavināt tikai attiecīgā zemes starpgabala piegulošo zemesgabalu īpašniekiem vai kopīpašniekiem.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norādāms, ka tas, ka braucamā ceļa servitūts zemesgrāmatā ir reģistrēts tikai atzīmes veidā un līdz ar to pats par sevi neapliecina pilnvērtīga braucamā ceļa servitūta nodibināšanu, neizslēdz iespēju valstij tiesas ceļā panākt šāda servitūta nodibināšanu un tā reģistrēšanu zemesgrāmatā, ja tam pastāv Civillikumā noteiktie priekšnoteikumi. Šādā gadījumā varētu tikt radīta tiesiska situācija, kurā attiecīgā zemes vienība vairs neatbilstu zemes starpgabala definīcijai Atsavināšanas likuma izpratnē un līdz ar to būtu atsavināma publiskā izsolē, potenciāli nodrošinot valstij iespējami augstāku atsavināšanas cenu.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ka no anotācijā ietvertās informācijas izriet vairāku iespējamu piekļuves variantu pastāvēšana attiecīgajai zemes vienībai, kas </w:t>
            </w:r>
            <w:r w:rsidR="00000000" w:rsidRPr="00000000" w:rsidDel="00000000">
              <w:rPr>
                <w:i w:val="1"/>
                <w:rtl w:val="0"/>
              </w:rPr>
              <w:t xml:space="preserve">prima facie</w:t>
            </w:r>
            <w:r w:rsidR="00000000" w:rsidRPr="00000000" w:rsidDel="00000000">
              <w:rPr>
                <w:rtl w:val="0"/>
              </w:rPr>
              <w:t xml:space="preserve"> norāda uz iespēju nodibināt tiesiski saistošu braucamā ceļa servitūtu.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Publiskas personas finanšu līdzekļu un mantas izšķērdēšanas novēršanas likuma 3. panta 2. punktu publiskai personai ir pienākums rīkoties ar mantu lietderīgi, t. i., nodrošinot tās atsavināšanu vai nodošanu lietošanā par iespējami augstāko cenu.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izvērtēt iespējas valstij nodibināt tiesiski saistošu ceļa servitūtu, kas ļautu atsavināt īpašumu publiskā izsolē, nodrošinot valsts interesēm atbilstošu finansiālo rezultātu. Tāpat lūdzam minēto skaidrot anotācijā.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izvērtēts. Ņemot vērā līdzīgu tiesību aktu sagatavošanas praksi, anotācija papildināta ar atsauci uz Zemes pārvaldības likuma 7.panta pirmo daļu, kas paredz, ka visiem jaunveidojamiem zemes gabaliem, izņemot starpgabalus, nodrošina piekļuvi no pašvaldības ceļa vai ielas vai šā likuma 8.</w:t>
            </w:r>
            <w:r w:rsidR="00000000" w:rsidRPr="00000000" w:rsidDel="00000000">
              <w:rPr>
                <w:vertAlign w:val="superscript"/>
                <w:rtl w:val="0"/>
              </w:rPr>
              <w:t xml:space="preserve">1</w:t>
            </w:r>
            <w:r w:rsidR="00000000" w:rsidRPr="00000000" w:rsidDel="00000000">
              <w:rPr>
                <w:rtl w:val="0"/>
              </w:rPr>
              <w:t xml:space="preserve"> panta kārtībā noteikta pašvaldības nozīmes ceļa vai ielas vai arī nodrošina piekļuvi no valsts autoceļa atbilstoši normatīvajiem aktiem par ceļu pievienošanu valsts autoceļiem. Ja tas nav iespējams, piekļuvi nodrošina pa servitūta ceļu vai pa projektētu servitūta ceļu pēc servitūta nodibināšanas. Privātīpašumā esošs ceļš vai iela nav uzskatāms par koplietošanas ceļu vai ielu spēkā esošā normatīvā regulējuma ietvaros.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projektā minētā zemes vienība atbilst Publiskas personas mantas atsavināšanas likuma (turpmāk - Atsavināšanas likums) 1. panta 11. punkta “a” apakšpunktā noteiktajai starpgabala definīcijai, jo izpildās kritērijs, ka piekļuve koplietošanas ielai nav nodrošināta (atbilstoši grozījumiem  Publiskas personas mantas atsavināšanas likumā (stājās spēkā 03.07.2025.) minētajā normā aizstāti vārdi “nav iespējams nodrošināt pieslēgumu" ar vārdiem "nav nodrošināts pieslēgums").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to, ka Atsavināšanas likums vairs neparedz vērtēt piekļuves nodrošināšanas iespējas, bet gan faktiskas piekļuves esamību/neesamību, lai zemesgabals atbilstu starpgabala definīcijai, rīkojuma projektā minētā zemes vienība ir atsavināma, ievērojot Atsavināšanas likuma 44.panta astoto daļu, kā arī Atsavināšanas likuma 37.panta pirmās daļas 4.punktu (mantas pārdošana par brīvu cenu, kas ir vienāda ar nosacīto cenu, ja nekustamo īpašumu iegūst šā likuma 4.panta ceturtajā daļā minētā persona).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25-TA-2956</w:t>
    </w:r>
    <w:r>
      <w:br/>
    </w:r>
    <w:r w:rsidR="00000000" w:rsidRPr="00000000" w:rsidDel="00000000">
      <w:rPr>
        <w:rtl w:val="0"/>
      </w:rPr>
      <w:t xml:space="preserve">26.01.2026. 10.28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25-TA-2956</w:t>
    </w:r>
    <w:r>
      <w:br/>
    </w:r>
    <w:r w:rsidR="00000000" w:rsidRPr="00000000" w:rsidDel="00000000">
      <w:rPr>
        <w:rtl w:val="0"/>
      </w:rPr>
      <w:t xml:space="preserve">26.01.2026. 10.28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Izziņa_25-TA-2956.docx</dc:title>
</cp:coreProperties>
</file>

<file path=docProps/custom.xml><?xml version="1.0" encoding="utf-8"?>
<Properties xmlns="http://schemas.openxmlformats.org/officeDocument/2006/custom-properties" xmlns:vt="http://schemas.openxmlformats.org/officeDocument/2006/docPropsVTypes"/>
</file>