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23-TA-1568: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projektu iesniedzējiem (turpmāk – projektu iesniedzējs), finansējuma saņēmējiem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skaidrojumu un noteikumu būtību,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Izmaksu un ieguvumu analīze pēc būtības ir nepieciešama, lai noteiktu, vai plānotajā atbalsta pasākumā vai projektā gaidāmie ieguvumi (finanšu vai sociālekonomiskie) ir lielāki par projekta izmaksām visā projekta dzīves ciklā. Parasti publiskās pārvaldes projekti finansiāli rada zaudējumus, tādēļ vienīgais to attaisnojošais iemesls ir gaidāmie sociālekonomiskie ieguvumi no projekta jeb labums sabiedrībai (iedzīvotājiem). Ņemot to vērā, peļņas negūšana un (vai) valsts pārvaldes funkciju veikšana nav indikators izmaksu un ieguvumu analīzes veikšanai vai neveikšanai.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 – 2027. gadam  ir noteikts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rezultāta rādītājs “Iedzīvotāju skaits, kuri pēdējā gada laikā veselības apsvērumu dēļ Eiropas Sociālā fonda Plus veselības veicināšanas pasākumu ietekmē ir mainījuši uztura un citus dzīvesveida paradumus”  nodrošinot, ka uz 2029. gada 31. decembri sasniegta rādītāja vērtība 50 000 iedzīvotāji. Ņemot to vērā, ir iespējams prognozēt par cik vidēji samazināsies veselības aprūpes izmaksas tiem iedzīvotājiem, kuri veselības veicināšanas pasākumu ietekmē ir mainījuši uztura un citus dzīvesveida paradumus, par cik būs palielinājies iedzīvotāju darba mūžs, kā rezultātā samazināsies gan spiediens uz sociālo budžetu, gan arī palielinās samaksāto nodokļu apjoms valsts budžetā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tomēr lūdzam papildināt noteikumu projektu ar normu, kas paredz, ka projekta iesniegumā finansējuma saņēmējs veic izmaksu un ieguvumu analīzi, kuras ietvaros jāpamato, ka projekta ieguvumi būs lielāki par projekta izmaksām.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Sagaidāmie sociālekonomiskie ieguvumi no VM ESF pasākumu īstenošanas aprakstīti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Plus projektu iesniedzējiem (turpmāk – projektu iesniedzējs), finansējuma saņēmējiem un sadarbības partneriem;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atbalsta veids ir grants (dotācija) ar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“ar nosacījumiem”, jo noteikumu projektā nav izvirzīti nosacījumi, kuru neizpildes gadījumā finansējuma saņēmējiem būtu daļēji vai pilnībā jāatmaksā grants atbalsta 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plānotais atbalsta veids ir grants (dotācija).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izmaksas ir attiecināmas, ja tās atbilst šajos noteikumos minētajām izmaksu pozīcijām un tās ir radušās ne agrāk kā par 2021. gada 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projektu izmaksas ir attiecināmas no 2021. gada 1. decembra. Vēršam uzmanību, ka projekta Nr. 9.2.4.1/16/I/001 “Kompleksi veselības veicināšanas un slimību profilakses pasākumi” beigu termiņš ir 2023.gada 31.decemris, un īstenojot paralēli divus līdzīgus projektus palielinās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VM uzskata, ka ir jāatstāj izmaksu attiecināmības termiņš no 2021.gada 1.decembra, tad lūdzam papildināt noteikumu projekta 14. punktu ar informāciju, ka nedrīkst attiecināt izmaksas jau pabeigtām darbībām, vai noteikt, ka izmaksas ir attiecināmas no līguma/vienošanās noslēgšanas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 fondu 2014.-2020.gada plānošanas perioda ietvaros Veselības ministrijas īstenotā projekta Nr. 9.2.4.1/16/I/001 “Kompleksi veselības veicināšanas un slimību profilakses pasākumi” beigu termiņš un izdevumu attiecināmības ir 2023.gada 31.decemris. Savukārt pastāv risks, ka ES fondu jaunā 2021. – 2027.  perioda 4.1.2.1. pasākuma darbību īstenošana neuzsāksies ar 2024.gada 1.janvāri. Līdz ar to 4.1.2.1.pasākuma projekta darbības netiks uzsāktas ātrāk par vecā perioda projekta noslēgšanas termiņu, un dubultā finansējuma risks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sliktos sabiedrības veselības rādītājus Latvijā un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nozīmību, kā arī abu plānošanas periodu projektu savstarpējo sinerģiju jeb papildinātību, Veselības ministrija vēlas nekavējoties ar 2024.gada 1.janvāri uzsākt projekta darbību īstenošanu, tomēr kā teikts ir risks, ka projekts netiks izvērtēts un vienošanās par projekta īstenošanu netiks parakstīta, tāpēc tiek likts izmaksu attiecināmības termiņš no 2024.gada 1.janvāra. Lai nodrošinātu divu ES fonu periodu nepārtrauktību, VM jau paredz iepirkumos darbības, kuras var uzsākt no 2024.gada 1.janvāra.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izmaksas ir attiecināmas, ja tās atbilst šajos noteikumos minētajām izmaksu pozīcijām un tās ir radušās ne agrāk par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iesniedzējiem un projekta 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izstrādā kārtību, kā tas pārliecinās par interešu konflikta (ievērojot Regulas 2018/1046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projektu, ka finansējuma saņēmējs un sadarbības partneris paraksta interešu konflikta neesamības apliecinājumu (Apliecinājumā obligāti ietver atsauci uz Regulas 2018/1046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25. un 38.2.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iesniedzējiem, finansējuma saņēmējiem, sadarbības partneriem un projekta vērtēšanai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salīdzinot ar šobrīd ES fondu mājas lapā publicēto dokumentu “SAM rādītāju metodoloģijas apraksts”, SAMP ietvaros tiek plānots papildu finansējuma saņēmējs (muzejs) un MK noteikumu projekta 16.punktā uzskaitīts lielāks sadarbības partneru skaits, lūdzam skaidrot iznākuma rādītāja metodoloģiju - ko plānots iekļaut iznākuma rādītājā un vai iznākuma rādītājs nebūtu jāpalielina, nepieciešamības gadījumā attiecīgi papildinot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4.1.2. SAM rādītāju metodoloģijas aprakstu 4.1.2. SAM iznākuma rādītāja (EECO18) sasniegšanā piedalīsies 47 iestādes, paredzot, ka atbalstāmo iestāžu skaitā tiks iekļautas visas pašvaldības (42), Slimību profilakses un kontroles centrs (SPKC), Veselības ministrija, Neatliekamās medicīniskās palīdzības dienests (NMPD), Iekšlietu ministrija  (piesaistīts 4.1.2.4. pasākums “Pierādījumos balstītu narkotiku lietošanas profilakses programmu īstenošana un profilakses kvalitātes standartu ieviešana”)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(piesaistīts 4.1.2.3.pasākums pasākuma “Pasākumi atkarīgo personu resocializācijai un atgriešanai darba tirgū, kā arī preventīvie pasākumi jauniešiem”) kā projektu īstenotāji centralizētiem pasākumiem. Aprēķini veikti, ņemot vērā plānotos pasākumus  un mērķauditoriju veselības veicināšanas un slimību profilakses jomā. Toties, ņemot vērā ES fondu 2014.-2020.gada plānošanas perioda pieredzi SAM 9.2.4. īstenošanā un to, ka šobrīd grūti prognozēt vai visas iepriekšminētās iestādes ņems dalību 4.1.2. SAM ieviešanā (pašvaldības var atteikties, tāpat 4.1.2.1. sadarbības partneri var atteikties), skaidrojam, ka noteikumu projekts paredz, ka 4.1.2.1. pasākuma iznākuma rādītāja sasniegšanā piedalīsies </w:t>
            </w:r>
            <w:r w:rsidR="00000000" w:rsidRPr="00000000" w:rsidDel="00000000">
              <w:rPr>
                <w:b w:val="1"/>
                <w:rtl w:val="0"/>
              </w:rPr>
              <w:t xml:space="preserve">vismaz 3 iestādes</w:t>
            </w:r>
            <w:r w:rsidR="00000000" w:rsidRPr="00000000" w:rsidDel="00000000">
              <w:rPr>
                <w:rtl w:val="0"/>
              </w:rPr>
              <w:t xml:space="preserve"> atbilstoši šobrīd aktuālajai 4.1.2.1. pasākuma projekta iesnieguma vērtēšanas kritēriju piemērošanas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pasākuma ietvaros, kas pēc projekta iesnieguma apstiprināšanas kļūst par finansējuma saņēmēju,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atbilstoši normatīvajiem aktiem par kārtību, kādā ES fondu vadībā iesaistītās institūcijas nodrošina šo fondu ieviešanu 2021. – 2027. gada plānošanas periodā slēdz sadarbības līgumus ar sadarbības partneriem, kontrolē to izpildi un novērš dubultā finansējuma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slēgts sadarbības līgums, MK noteikumos ir jāatrunā tā galvenie aspekti (atbildība, funkcijas utt.) Izpildot iepriekš minēto, MK noteikumos nedublē vadības MK noteikumu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15.1.</w:t>
            </w:r>
            <w:r w:rsidR="00000000" w:rsidRPr="00000000" w:rsidDel="00000000">
              <w:rPr>
                <w:rtl w:val="0"/>
              </w:rPr>
              <w:t xml:space="preserve"> apakšpunktā minētais finansējuma saņēmējs atbilstoši normatīvajiem aktiem, kas nosaka kārtību, kādā Eiropas Savienības (turpmāk - ES) fondu vadībā iesaistītās institūcijas nodrošina šo fondu ieviešanu 2021. – 2027. gada plānošanas periodā slēdz sadarbības līgumus ar sadarbības partneriem, kontrolē to izpildi un novērš dubultā finansējuma riskus. Sadarbības līgumā iekļauj vismaz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nediskriminācijas principu,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ka informatīvo pasākumu vai materiālu saturs atbilst piekļūstamības prasībām, proti, lai informācijas saturs būtu piekļūstams, izmantojot vairāk nekā vienu sensoro kanālu, kā arī lai tā būtu labi uztverama personām ar garīga rakstura traucējumiem, lasītprasmes vai uztveres grūtībām, būs nepieciešami zīmju valodas tulku, Braila raksta drukas, vieglās valodas tulkošanas, reāllaika transkripcijas un subtitru nodrošināšanas  pakalpojumi. Lai nodrošinātu vienlīdzīgas iespējas piedalīties pasākumos visiem iedzīvotājiem, ir jāparedz arī atbilstošus risinājumus pasākumu norises infrastruktūras piekļūstamības nodrošināšanai personām ar invaliditāti, personām ar maziem bērniem un senioriem. Gadījumos, ja pasākumiem nav iespējas izmantot piekļūstamas telpas, ir jāparedz izmaksas pandusu, pacēlāju nomai. Savukārt, lai pasākumos vienlīdzīgi var piedalīties personas ar dzirdes traucējumiem, iespējams, būs nepieciešama indukcijas cilpu noma.  Lai integrētu dzimumu līdztiesības un nediskriminācijas principus pētījumu un informatīvo materiālu saturā, būs nepieciešams piesaistīt  ekspertus ar atbilstošām zināšanām un pieredzi, kas izvērtēs informatīvo materiālu saturu atbilstību un integrēs dzimumu līdztiesības principu pētījumu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izmaksas horizontālā principa “Vienlīdzība, iekļaušana, nediskriminācija un pamattiesību ievērošana” darbību īstenošanai, tai skaitā ekspertu konsultāciju, pandusu un pacēlāju nomas, indukcijas cilpu nomas, zīmju valodas tulka, Braila raksta drukas, reāllaika transkripcijas, subtitru nodrošināšanas pakalpojumu izmaksas,  kā arī  publicitātes un komunikācijas materiālu izgatavošana un izplatīšana piekļūstamos formātos, nodrošinot to uztveramību ar vairāk kā vienu sensoro kanālu.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28.5.apakšpunktu.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ir atbalstāmi veselības veicināšanas un slimību profilakses pasākumi, ievērojot šādas sabiedrības veselības prioritārās jomas, kas novērstu priekšlaicīgu mirstību, darba nespēju, veicinātu dzīves kvalitāti un uzlabotu iedzīvotāju veselībpratību Latvijas iedzīvotājiem visos vecuma posmos un dažādām mērķa grupām atkarībā no veselības veicināšanas un slimību profilakses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atbilstoši anotācijā sniegtajam skaidrojumam, ka visi minētie pasākumi/aktivitātes tiks īstenotas </w:t>
            </w:r>
            <w:r w:rsidR="00000000" w:rsidRPr="00000000" w:rsidDel="00000000">
              <w:rPr>
                <w:b w:val="1"/>
                <w:rtl w:val="0"/>
              </w:rPr>
              <w:t xml:space="preserve">četru prioritāro jomu</w:t>
            </w:r>
            <w:r w:rsidR="00000000" w:rsidRPr="00000000" w:rsidDel="00000000">
              <w:rPr>
                <w:rtl w:val="0"/>
              </w:rPr>
              <w:t xml:space="preserve"> (sirds un asinsvadu slimības, onkoloģiskās slimības, bērnu veselība un psihiskā veselība) un</w:t>
            </w:r>
            <w:r w:rsidR="00000000" w:rsidRPr="00000000" w:rsidDel="00000000">
              <w:rPr>
                <w:b w:val="1"/>
                <w:rtl w:val="0"/>
              </w:rPr>
              <w:t xml:space="preserve"> sešu rīcības apakšjomu</w:t>
            </w:r>
            <w:r w:rsidR="00000000" w:rsidRPr="00000000" w:rsidDel="00000000">
              <w:rPr>
                <w:rtl w:val="0"/>
              </w:rPr>
              <w:t xml:space="preserve"> - veselīgs uzturs, fiziskā aktivitāte, atkarību izraisošo vielu un procesu izplatības mazināšana, psihiskā veselība, seksuālā un reproduktīvā veselība, slimību profilakse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 atbilstoši saskaņotajiem kritērijiem, kur noteiktas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ir atbalstāmi veselības veicināšanas un slimību profilakses pasākumi Latvijas iedzīvotājiem visos vecuma posmos un  dažādām mērķa grupām, kas novērstu priekšlaicīgu mirstību, darba nespēju, veicinātu dzīves kvalitāti un uzlabotu iedzīvotāju veselībpratību,  šādās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veselības veicināšana un slimību profilakses uzlabošana;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iekļaujot šādu punktu, jēgu zaudē visi pārējie apakšpunkti, jo šis punkts iekļauj pilnīgi visas iespējamās jomas, tēmas un apakšjomas. Gadījumā, ja nav plānots noteikt atbalstāmās jomas, lūdzam precizēt 23.punkta definējumu.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vienlaikus skaidrojam, ka 26.punkta ievaddaļā noteiktas darbības – veicināšana un profilakse, savukārt apakšpunktos noteiktas konkrētas jomas ar konkrētu jomas uzdevumu – piem. mazināšana, veicināšana, profilakse konkrētā jomā. 26.6. noteikta vispārējā veselības veicināšana bez jomas, kas arī ir atbalstāma.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veselības veicināšana un primārās slimību profilakses uzlabošana;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atjaunot atbalstāmo darbību(ja nepieciešams, veidojot atbilstošas apakšdarbības), kas paredz veselības pratības centra bērniem izveidi, iekļaujot arī nosacījumu, ka šo darbību īsteno MK noteikumu projekta15.2.apakšpunktā noteiktais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MK noteikumu projektā iekļaut arī informāciju par apakšdarbībām, kuru izmaksas būs attiecināmas atbalstāmās darbības "Veselības pratības centra bērniem izveide"  ietvaros un par kurām sniegta informācija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mērķauditorijas izpētes aktivitātes, darbs ar fokusa grupām (bērni, vecāki, vai likumiskie aizbildņi, pedagogi), t.sk. pētījums par potenciālās ekspozīcijas atbilstību mērķauditorijas vajadzībām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cikls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ekspozīcijas satura un dizaina koncepta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prototipa izstrāde un testēšana ar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krājuma priekšmetu apstrāde un digitalizācija ekspozīcijas izveides vajadzībām (izmantojot muzejpedagoģiskos digitālos rīkus un risinājumus ārpakalpojumā (nav saistīts ar IKT sistēmu izstrādēm), ārpakalpojumu ietvaros kā kompleksi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izveide (bērnu muzeja klases izveide) (iekārtojums, ekspozīcijas izstrāde atbilstoši konceptam);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muzejpedagoģisko programmu izstrāde un testēšana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komunikācijas pasākumi, kas iekļauj komunikāciju par projekta ietvaros īstenotajiem veselības veicināšanas un slimību profilakses pasākumiem – mērķauditorijas uzrunāšanai un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Norādām, ka iepriekš minētie nosacījumi (prasības) ir būtiski projekta iesnieguma atbilstības noteikšanai un atbalsta piešķiršanai un ir iekļaujami MK noteikumos, nevis atspoguļojami tikai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atbalstāmo darbību, kas paredz veselības pratības centra bērniem izveidi (iepriekš - muzeja izveide), iekļaujot arī nosacījumu, ka šo darbību īsteno MK noteikumu 16.2.apakšpunktā noteiktais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MK noteikumos atjaunot arī informāciju par izmaksām, kas būs attiecināmas atbalstāmās darbības "Veselības pratības centra bērniem izveide"  ietvaros, par kurām sniegta informācija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mērķauditorijas izpētes aktivitātes, darbs ar fokusa grupām (bērni, vecāki, vai likumiskie aizbildņi, pedagogi), t.sk. pētījums par  potenciālās ekspozīcijas atbilstību mērķauditorijas vajadzībām ārpakalpojumā;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cikls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ekspozīcijas satura un dizaina koncepta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prototipa izstrāde un testēšana ar mērķgrupām;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krājuma priekšmetu apstrāde un digitalizācija ekspozīcijas izveides vajadzībām (izmantojot muzejpedagoģiskos digitālos rīkus un risinājumus ārpakalpojumā (nav saistīts ar IKT sistēmu izstrādēm), ārpakalpojumu ietvaros kā kompleksi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izveide (bērnu muzeja klases izveide) (iekārtojums, ekspozīcijas izstrāde atbilstoši konceptam);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muzejpedagoģisko programmu izstrāde un testēšana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komunikācijas pasākumi, kas iekļauj komunikāciju par projekta ietvaros īstenotajiem veselības veicināšanas un slimību profilakses pasākumiem – mērķauditorijas uzrunāšanai un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izteiktie iebildumi saistībā ar muzeja izveidi attiecās nevis uz šīs darbības un ar to saistīto attiecināmo izmaksu izslēgšanu (dzēšanu) no MK noteikumiem, bet gan MK noteikumos ietverto prasību piemērošanas skaidrojuma sniegšanu anotācijā. Prasības, kas ir būtiskas atbalsta piešķiršanai, ir jāiekļauj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sniegta informācija par MK noteikumu 15.2.apakšpunktā minētā projekta iesniedzēja - Paula Stradiņa Medicīnas vēstures muzeja (turpmāk – muzejs), plānotajām darbībām un izmaksām, ņemot vērā to, ka tās ir projekta līmeņa darbības nevis pasākuma, tādēļ tās noteiktas anotācijā nevis MK noteikumos. Savukārt, MK noteikumi nosaka pasākuma atbalstāmās darbības un attiecināmo izmaksu pozīcijas, un anotācijā minētās muzeja projekta darbības atbilst MK noteikumos noteiktajām pasākuma darbībām un pozīcijām.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īstenošanu praksē, lūdzam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vienlīdzīgas iespējas piedalīties informatīvajos veselības veicināšanas un slimību profilakses pasākumos (turpmāk - pasākumos) visiem Latvijas iedzīvotājiem, tostarp personām ar invaliditāti un dažādiem funkcionāliem traucējumiem, vecākiem ar maziem bērniem un senioriem, ir jānodrošina pasākumu atbilstība piekļūstamības prasībām, proti, lai informācijas saturs būtu piekļūstams, izmantojot vairākus sensoros (redze, dzirde, tauste) kanālus, kā arī informācijas sagatavošanai, lai tā būtu labi uztverama personām ar redzes, dzirdes vai garīga rakstura traucējumiem, lasītprasmes vai uztveres grūtībām, būs nepieciešami zīmju valodas tulku, vieglās valodas tulkošanas, reāllaika transkripcijas, subtitru nodrošināšanas  pakalpojumi vai indukcijas cilpu noma. Savukārt, lai nodrošinātu iespējas visiem Latvijas iedzīvotājiem piedalīties pasākumos, ir jānodrošina atbilstošus risinājumus publiskās infrastruktūras piekļūstamībai, piemēram, ir jāparedz pandusu vai pacēlāju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 noteikumu projektā netiks paredzēta atsevišķas atbalstāmās darbības HP specifisko darbību īstenošanai, jo tas izriet no pārējo atbalstāmo darbību organizēšanas prasībām, piemēram organizējot kampaņu internetā ir jau automātiski paredzēts risinājums neredzīgo auditorijai, tāpat lekciju telpas tiek prasītas ar pieejamību personām ar funkcionāliem traucējumiem. utt. Respektīvi prasības HP izpildei (atbilstošus risinājumus publiskās infrastruktūras piekļūstamībai) jau tiek iekļautas pasākumu iepirkumos atkarībā no mērķgrupas. Iepriekšējā perioda veselības veicināšanas pasākumu attiecināmo izmaksu pozīcijās bija iekļauta atsevišķa prasība, bet par cik tā izriet no vispārējas loģikas, tas netika prasīts kā atsevišķa darbība, bet tika iekļauts pārējo darbību tehnisko specifikāciju prasībās.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 anotācijā - skaidrojam, ka 4.1.2.1. pasākums paredz darbības kā piemēram kampaņas un profilakses pasākumi, kas nav tipveida un tie tiek organizēti atsevišķi individuāli konkrētā jomā, konkrētai mērķgrupai, konkrētā laikā ar konkrētu rīcībpolitikas uzdevumu sabiedrības veselības jomā. Parasti to īstenošanai tiek izmantoti metu konkursi, tie neatkārtojas, līdz ar to, tiem grūti paredzēt vienības izmaksas un likmes. Papildus norādām, ka te nav projekti zem 200 tūkt. euro, un 4.1.2.2. pasākums ir veidots tikai un vienīgi no likmēm.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kuras darbības ir attiecināmas uz MK noteikumu 15.1.apakšpunktā noteikto projekta iesniedzēju un tā sadarbības partneriem un kuras uz MK noteikumu 15.2.apkšpunktā noteikto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28., 29., 30. un 31.punkts.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ir atbalstāmas šādas atbalstāmās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nacionāla un vietēja mēroga slimību profilakses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SAMP 4.1.2.1. projekta (-u) ietvaros plānots nodrošināt nacionāla mēroga pasākumus, kā arī, lai novērstu pārklāšanos ar SAMP 4.1.2.2., lūdzam dzēst vārdus “un vietēja”.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atbalstāmā darbība tiek saglabāta, jo skaidrojam, ka SAMP 4.1.2.1. un SAMP 4.1.2.2. ir savstarpēja tieša papildinātība un sinerģija. Abu pasākumu ietvaros ir paredzēti vietēja mēroga veselības veicināšanas un slimību profilakses pasākumi. Protams SAMP 4.1.2.1. ir orientēts uz Vislatvijas nacionāla mēroga plašiem pasākumiem kā kampaņas, pētījumi, tomēr ir plānotas arī vietējas ietekmes veselības veicināšanas un slimību profilakses pasākumi konkrētā teritorijā ar konkrētu mērķauditoriju un tēmu / jomu, piemēram kā smēķēšanas profilakses programma, zobu programma, un tā varētu likties , ka rada risku pasākumu pārklāšanās. Tomēr arī ES fondu 2014.-2020 perioda ietvaros šādi pasākumi tika plānoti un attiecīgi darbības tika saskaņotas ar attiecīgo pašvaldību, kur pasākums tika plānots. Tāpat arī gadījumos, kad konkrētajā teritorijai vienādai mērķgrupai paredzēti pasākumi vienā tēmā – tā ir uzskatāma par papildinošo ietekmi nevis pārklāšanos, jo sabiedrības veselības uzlabošanās nav vienas nodarbības rezultatīvs pasākums, bet gan pasākumu kopums, ko īsteno mērķtiecīgi, regulāri un atkārtojot to gadu no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nacionāla un vietēja mēroga veselības veicināšanas un slimību profilakses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nacionāla un vietēja mēroga veselības veicināšanas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SAMP 4.1.2.1. projekta (-u) ietvaros plānots nodrošināt nacionāla mēroga pasākumus, kā arī, lai novērstu pārklāšanos ar SAMP 4.1.2.2., lūdzam dzēst vārdus “un vietēja”.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10.punktu.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muzeja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kādu muzeju plānots izveidot un sniegt tā nepieciešamības pamatojumu, t.sk. par atbilstību Eiropas Savienības kohēzijas politikas programmā 2021.–2027.gadam paredzētajām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26.2.</w:t>
            </w:r>
            <w:r w:rsidR="00000000" w:rsidRPr="00000000" w:rsidDel="00000000">
              <w:rPr>
                <w:rtl w:val="0"/>
              </w:rPr>
              <w:t xml:space="preserve"> apakšpunktā minētā atbalstāmā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MK noteikumu projekta 26.punkta izteikto iebildumu, lūdzam nodalīt izmaksas, kas attiecināmas tikai uz MK noteikumu projekta 15.2.apakšpunktā noteikto projekta iesniedzēju no izmaksām, kas attiecināmas tikai uz 15.1.apakšpunktā noteikto projekta iesniedzēju un tā sadarbības partneriem, kā arī atkārtoti lūdzam 28.1.apakšpunktā dzēst vārdus  "t.sk. muzejpedagoģiskajiem un ekspozīcijas izveide", vienlaikus atbilstoši precizējot arī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26.2.</w:t>
            </w:r>
            <w:r w:rsidR="00000000" w:rsidRPr="00000000" w:rsidDel="00000000">
              <w:rPr>
                <w:rtl w:val="0"/>
              </w:rPr>
              <w:t xml:space="preserve"> apakšpunktā minētā atbalstāmā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izmaksas par veselības veicināšanas un slimību profilakses, t.sk. muzejpedagoģiskajiem un ekspozīcijas izveides pasākumiem, iekļaujot plānošanu, izstrādi un ieviešanu, t.sk. sabiedrības un dažādu mērķa grupu informēšanu un izglītošanu;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MK noteikumu 27.punkta izteikto iebildumu, lūdzam dzēst vārdus "t.sk. muzejpedagoģiskajiem un ekspozīcijas izveide".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šādā 29.1.apakšpunkta redakcijā, (ņemot vērā 29.punkta formulējumu)  muzejpedagoģiskos un ekspozīcijas izveides pasākumus var īstenot ne  tikai MK noteikumu 16.2.apakšpunktā noteiktais projekta iesniedzējs, bet arī 16.1.apakšpunktā noteiktais projekta iesniedzējs un tā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sniegta informācija par MK noteikumu 15.2.apakšpunktā minētā projekta iesniedzēja - Paula Stradiņa Medicīnas vēstures muzeja (turpmāk – muzejs), plānotajām darbībām un izmaksām, ņemot vērā to, ka tās ir projekta līmeņa darbības nevis pasākuma, tādēļ tās noteiktas anotācijā nevis MK noteikumos. Savukārt, MK noteikumi nosaka pasākuma atbalstāmās darbības un attiecināmo izmaksu pozīcijas, un anotācijā minētās muzeja projekta darbības atbilst MK noteikumos noteiktajām pasākuma darbībām un pozīcijām. Attiecībā uz to, ka šobrīd esošā MK noteikumu 28.1.apakšpunkta redakcija nosaka, ka muzejpedagoģiskos un ekspozīcijas izveides pasākumus var īstenot ne tikai MK noteikumu 15.2.apakšpunktā noteiktais projekta iesniedzējs, bet arī 15.1.apakšpunktā minētais projekta iesniedzējs un tā sadarbības partneri, skaidrojam, ka 15.1. apakšpunktā noteiktais projekta iesniedzējs un tā sadarbības partneri to varētu darīt tikai tad, ja tas ir noteikts funkcijās saskaņā ar iestādes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izmaksas par veselības veicināšanas un slimību profilakses, t.sk. muzejpedagoģiskajiem un ekspozīcijas izveides pasākumiem, iekļaujot plānošanu, izstrādi un ieviešanu, t.sk. sabiedrības un dažādu mērķa grupu informēšanu un izglītošanu;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krājuma priekšmetu apstrāde un digitalizācija;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kā muzeja krājuma priekšmetu apstrāde un digitalizācija veicinās MK noteikumu projekta 23.punktā plānoto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ekspozīcijas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veidot muzeja ekspozīciju un muzeja apmeklējums ir par maksu, lūdzam anotācijā skaidrot, kā plānots nodrošināt un uzraudzīt, ka projektā netiek gūti NETO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FM KAKD iebildumiem,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reglamentā aktuālās redakcijas noteikumu projektā  un anotācijā – valsts atbalsta neesamības izslēgšanas punktos. Projekts reizi gadā iesniedz aprēķinus.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bērnu muzeja klases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izmaksas ietver noteikumu projekta 29.7.apakšpunktā minētā bērnu muzeja klases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 muzeja komunikācijas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kādus muzeja komunikācijas pasākumus plānots segt no projekta izmaksām, ņemot vērā, ka komunikācija ir arī muzeja pamatdarbības, t.sk. saimnieciskās darbības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minētās izmaksas veido projekta tiešās attiecināmās izmaksas,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kuras no MK noteikumos noteiktajām attiecināmajām izmaksām ir attiecināmas uz MK noteikumu 15.1.apakšpunktā noteikto projekta iesniedzēju un tā sadarbības partneriem un kuras ir attiecināmas uz MK noteikumu 15.2.apakšpunktā noteikto projekta iesniedzēju.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 Noteikumu projekts papildināts ar izņēmuma atbalstāmo darbību un attiecināmo izmaksu pozīciju – sabiedrības veselības pētījumi, kas attiecināma tikai finansējuma saņēmējam – Veselības ministrijai un tās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25.</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25.</w:t>
            </w:r>
            <w:r w:rsidR="00000000" w:rsidRPr="00000000" w:rsidDel="00000000">
              <w:rPr>
                <w:rtl w:val="0"/>
              </w:rPr>
              <w:t xml:space="preserve"> punktā minētajām projekta tiešajām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24. punktā minēto atbalstāmo darbību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24. punktā minēto atbalstāmo darbību īstenošanai ir attiecināmas projekta netiešās attiecināmās izmaksas, ko projekta iesniegumā plāno kā vienu izmaksu pozīciju, piemērojot netiešo izmaksu vienoto likmi 15 procentu apmērā no šo noteikumu 25. punktā minētajām projekta tiešajām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26.</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27.</w:t>
            </w:r>
            <w:r w:rsidR="00000000" w:rsidRPr="00000000" w:rsidDel="00000000">
              <w:rPr>
                <w:rtl w:val="0"/>
              </w:rPr>
              <w:t xml:space="preserve"> punktā minētajām projekta tiešajām personāla atlīdzības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nodokļa maksājumi, kas tiešā veidā saistīti ar projektu, ir attiecināmās izmaksas, ja finansējuma saņēmējs tos nevar atgūt normatīvajos aktos par pievienotās vērtības nodokli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ievietot vārdus “un sadarbības partneris” aiz vārdiem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nodokļa maksājumi, kas tiešā veidā saistīti ar projektu, ir uzskatāmi par attiecināmām izmaksām saskaņā ar regulas Nr. 2021/1060 64. panta 1. punkta "c" apakšpunktā ietvertajiem nosacījumiem, ja vien tie nav atgūstami saskaņā ar nacionālajiem tiesību aktiem pievienotās vērtības nodokļa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finansējuma saņēmējs un sadarbības partneri nodrošina komunikācijas un vizuālās identitātes nosacījumu ievērošanu atbilstoši Regulas 2021/1060 47. pantam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38.3.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par projekta dalībniekiem, kuri uzskaitāmi atbilstoši Eiropas Parlamenta un Padomes 2021. gada 24. jūnija Regulas (ES) Nr. 2021/1057, ar ko izveido Eiropas Sociālo fondu Plus (ESF+) un atceļ Regulu (ES) Nr. 1296/2013 I pielikumam un normatīvo aktu par Eiropas Savienības fondu projektu pārbaužu veikšanas kārtība 2021.–2027. gada plānošanas periodā 1. pielikumam, ja persona piedalās veselības veicināšanas vai slimību profilakses pasākumā un pasākums ilgst vairāk nekā astoņas 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36.2. apakšpunktā noteikto ierobežojumu Regulas (ES) Nr. 2021/1057 1.pielikumā uzkrājamajiem datiem, t.i. kāpēc finansējuma saņēmējs datus, par dalībniekiem, uzkrāj pasākumos, kuri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Skaidrojam, ka 4.1.2.1.pasākuma specifika ir plaši masveida veselības veicināšanas un slimību profilakses pasākumi, kampaņas pētījumi, kur nav iespējama dalībnieku uzskaite intervēšana un apzināšana. Tādēļ tikai konkrētos mērķgrupu pasākumos, kur ir organizēta ierobežota vide, kur dalībnieki nāk atkārtoti, ir iespējams tos intervēt un aptaujāt, lai iegūtu datus. Par tādiem pasākumiem tiek pieņemts un definēts, ka tie ir pasākumi virs 8 stundām, kas ir vidējas intervences organizēti pasākumi. Tāda pieeja tika īstenota ES fondu SAM 9.2.4. 2014.-2020.gada plānošanas perioda projektu dalībnieku uzskaitei.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par projekta dalībniekiem, kuri uzskaitāmi atbilstoši Eiropas Parlamenta un Padomes 2021. gada 24. jūnija Regulas (ES) Nr. 2021/1057, ar ko izveido Eiropas Sociālo fondu Plus (ESF+) un atceļ Regulu (ES) Nr. 1296/2013 I pielikumam un normatīvo aktu par Eiropas Savienības fondu projektu pārbaužu veikšanas kārtība 2021.–2027. gada plānošanas periodā 1. pielikumam, ja persona piedalās veselības veicināšanas vai slimību profilakses pasākumā un pasākums ilgst vairāk nekā astoņas stundas.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16.2.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 un projektam netiek piemēroti Eiropas Komisijas 2014. gada 17. jūnija Regulas (ES) Nr. 651/2014, ar ko noteiktas atbalsta kategorijas atzīst par saderīgām ar iekšējo tirgu, piemērojot Līguma 107. un 108. pantu, 53.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22.punktā minēto iebildumu: “Noteikumu projekts neparedz infrastruktūras izveidi. Lūdzam skaidrot, kas šī punkta kontekstā tiek saprasts ar infrastruktūras amortizācijas periodu un projekta dzīves ciklu.” Izziņā norādīts: “Ņemts vērā. Lūdzam skatīt izziņas 11.punktu.” Taču 11.punktā skaidrojums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 atbilstoši FM KAKD iebildumam,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reglamentā aktuālās redakcijas noteikumu projektā un anotācijā – valsts atbalsta neesamības izslēgšanas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15.2. apakšpunktā minētais finansējuma saņēmējs kopā ar projekta iesniegumu un turpmāk reizi gadā iesniegs aprēķinus projekta vērtēšanai, vai projekts nav kvalificējams kā valsts atbalsts (vai projekts atbilst vismaz vienam no 41.1. un 41.2. apakšpunktā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amortizācijas periodā (projekta dzīves cikla laikā) ieņēmumi no saimnieciskās darbības atbalstītajā objektā ir mazāki par 50 procentiem no kopējām kultūras institūcijas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projekta amortizācijas periodā (projekta dzīves ciklā) no visiem kultūras jomā sniegto pakalpojumu saņēmējiem atbalstītajā objektā gadā vairāk nekā 85 procenti ir Latvijas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16.2.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 un projektam netiek piemēroti Eiropas Komisijas 2014. gada 17. jūnija Regulas (ES) Nr. 651/2014, ar ko noteiktas atbalsta kategorijas atzīst par saderīgām ar iekšējo tirgu, piemērojot Līguma 107. un 108. pantu, 53.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noteikumu projekta 42. punktu, jo nav skaidra un pamatota sasaiste ar vienu no Eiropas Savienības līmeņa komercdarbības atbalsta regulējumiem (Komisijas regulas Nr. 651/2014 53. pantu), ņemot vērā to, ka komercdarbības atbalsta piešķiršana šī noteikumu projekta ietvaros nav plānota. Tādēļ nav skaidrs, kāpēc anotācijas V. sadaļā ir informācija par Komisijas regulas Nr. 651/2014 53. panta pārņemšanu pilnā apmērā. Turklāt no anotācijas var secināt, ka komercdarbības atbalstu šī pasākuma ietvaros ir plānots izslēgt vienā no 2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ieņēmumi, ko kultūras institūcija gūst no tās veiktās saimnieciskās darbības, tai skaitā no biļešu tirdzniecības un atsevišķu telpu iznomāšanas, nepārsniedz 50 % no kopējām kultūras institūcijas izmaksām (saimniecisko darbību izslēdzošais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sagaidāma ietekme uz tirdzniecību un konkurenci Eiropas Savienības iekšējā tirgū, jo izveidotās infrastruktūras amortizācijas periodā (projekta dzīves cikla laikā) no visiem kultūras jomā sniegto pakalpojumu saņēmējiem atbalstītajā objektā gadā vairāk nekā 85 %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42. punkts paredz tikai, ka tiek nodrošināta pārbaude, ka " izveidotās infrastruktūras amortizācijas periodā (projekta dzīves cikla laikā) ieņēmumi no saimnieciskās darbības atbalstītajā objektā ir mazāki par 50 procentiem no kultūras jomas pakalpojumu sniedzēja gada budžeta atbalstītajā objektā", kas nav korekti, jo pārbaude veicama nevis pret kultūras jomas pakalpojumu sniedzēja gada budžetu, bet gan kopējām kultūras institūcijas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veikt precizējumus noteikumu projekta 42. punkta, anotācijas 1.3. un V. sadaļā, tai skaitā, dzēšot informāciju par Komisijas regulas Nr. 651/2014 53. pantu, salāgojot un precizējot komercdarbības atbalsta izslēgšanas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MK noteikumu projektā atbilstoši FM KAKD iebildumam,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15.2.</w:t>
            </w:r>
            <w:r w:rsidR="00000000" w:rsidRPr="00000000" w:rsidDel="00000000">
              <w:rPr>
                <w:rtl w:val="0"/>
              </w:rPr>
              <w:t xml:space="preserve"> apakšpunktā minētajam finansējuma saņēmējam jāpierāda valsts atbalsta komercdarbībai saskaņā Eiropas Komisijas 2014. gada 17. jūnija Regulas (ES) Nr. 651/2014, ar ko noteiktas atbalsta kategorijas atzīst par saderīgām ar iekšējo tirgu, piemērojot Līguma 107. un 108. pantu (turpmāk – Komisijas regula Nr. 651/2014), 53. pantu neesamību atbilstoši  saimnieciskās darbības kritērijam - ja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infrastruktūras izveidi. Lūdzam skaidrot, kas šī punkta kontekstā tiek saprasts ar infrastruktūras amortizācijas periodu un projekta dzīves ciklu.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15.2.</w:t>
            </w:r>
            <w:r w:rsidR="00000000" w:rsidRPr="00000000" w:rsidDel="00000000">
              <w:rPr>
                <w:rtl w:val="0"/>
              </w:rPr>
              <w:t xml:space="preserve"> apakšpunktā minētajam finansējuma saņēmējam jāpierāda valsts atbalsta komercdarbībai saskaņā Eiropas Komisijas 2014. gada 17. jūnija Regulas (ES) Nr. 651/2014, ar ko noteiktas atbalsta kategorijas atzīst par saderīgām ar iekšējo tirgu, piemērojot Līguma 107. un 108. pantu (turpmāk – Komisijas regula Nr. 651/2014), 53. pantu neesamību atbilstoši  saimnieciskās darbības kritērijam - ja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 punktu, jo nav skaidrs, kāpēc ir jāpierāda Komisijas regulas Nr. 651/2014 53. panta neesamību, ja pēc būtības nosacījumam, lai publiskā finansējuma piešķiršana Paula Stradiņa Medicīnas vēstures muzejam šī pasākuma ietvaros nekvalificētos kā komercdarbības atbalsts, tam vai nu jāatbilst prasībai, ka projekts nav saistīts ar saimnieciskās darbības veikšanu, piemēram, izveidotās infrastruktūras amortizācijas periodā (projekta dzīves cikla laikā) ieņēmumi no saimnieciskās darbības atbalstītajā objektā ir mazāki par 50 procentiem no kultūras jomas pakalpojumu sniedzēja gada budžeta atbalstītajā objektā, vai nu, ja iepriekš minētais nosacījums neizpildās, tad jāpārbauda, vai atbalsts Paula Stradiņa Medicīnas vēstures muzejam nekvalificējas kā komercdarbības atbalsts, jo neizpildās Komercdarbības atbalsta kontroles likuma 5. panta 4. punktā minētā pazīme, 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procenti un vairāk no visiem kultūras jomā sniegto pakalpojumu saņēmējiem/apmeklētājiem atbalstītajā objektā gadā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objekts netiek plaši reklamēts ārpus Latvijas teritorijas (netiek veiktas starptautiskas mārketinga aktivitātes u.c. darbības pārrobežu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noteikumu projekta ietvaros ir plānots noteikt iespēju iepriekš minēto 2 gadījumu neizpildes gadījumā, piešķirt komercdarbības atbalstu saskaņā ar Komisijas regulas Nr. 651/2014 53. pantu, lūdzam papildināt noteikumu projektu ar visām prasībām, kas izriet no Komisijas regulas Nr. 651/2014 I sadaļas un regulas 53. panta. Turklāt šādā gadījumā būtu jāveic grozījumi pasākuma projekta vērtēšanas kritērijos, papildinot ar jaunu specifisko atbilstības kritēriju, kas paredzētu noteikumu projektā noteikto komercdarbības atbalsta piešķiršanas nosacījumu pārbaudi. Lūdzam attiecīgi precizēt noteikumu projekta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lietot korektu terminu lietošanu, aizstājot vārdus “valsts atbalsta komercdarbībai” ar vārdiem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projekta amortizācijas periodā (projekta dzīves cikla laikā) ieņēmumi no saimnieciskās darbības atbalstītajā objektā ir mazāki par 50 procentiem no kopējām kultūras institūcijas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pasākumā nav paredzēti ieguldījumi infrastruktūrā, un uzraudzība par to, vai projekts ir ar saimniecisko darbību nesaistīts projekts, ir nodrošināma tikai projekta īstenošanas laikā, lūdzam atbilstoši precizēt šo noteikumu projekta 41.1. un 41.2. apakšpunktu, vārdus "projekta amortizācijas periodā (projekta dzīves cikla laikā)" aizstājot ar "projekta īstenošanas periodā", atbilstoši precizējot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projekta 41. un 42.punktā, kā arī anotācijā sniegtās informācijas nav viennozīmīgi secināms, ka minētā uzraudzība ir nodrošināma tikai projekta īstenošanas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41.1. un 41.2. apakšpunkts, kā arī sniegts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projektam nav saimnieciska rakstura, ja projekta pārskata periodā (projekta dzīves cikla laikā) ieņēmumi no saimnieciskās darbības atbalstītajā objektā ir mazāki par 50 procentiem no kopējām kultūras institūcijas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pārkāptas Komisijas regulas Nr. 651/2014 prasības vai ir konstatēts, ka ar saimniecisko darbību nesaistīts projekts tā ieviešanas gaitā vai projekta pārskata periodā (projekta dzīves cikla laikā) kļūst par projektu, kas saistīts ar saimniecisku darbību, un tam nav iespējams piemērot Komisijas regulas Nr. 651/2014 53. panta nosacījumus,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secināms, ka tā ietvaros nav paredzēta komercdarbības atbalsta piešķiršana saskaņā ar Komisijas regulu Nr. 651/2014, lūdzam precizēt noteikumu projekta 42. punktu, piemēram, dzēšot vārdus “ir pārkāptas Komisijas regulas Nr. 651/2014 prasības vai” un vārdus “un tam nav iespējams piemērot Komisijas regulas Nr. 651/2014 53. panta nosacījumus”. Gadījumā, ja tomēr noteikumu projekta ietvaros ir plānota komercdarbības atbalsta piešķiršana, piemēram, saskaņā ar Komisijas regulas Nr. 651/2014 53. pantu, precizējumi noteikumu projekta 42. punktā nav jāveic, kā arī noteikumu projektu ir jāpapildina ar nosacījumiem, kas izriet no Komisijas regulas Nr. 651/2014 I nodaļas un 53.panta.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4.1.2.1. pasākuma "Nacionāla mēroga veselības veicināšanas un slimību profilakses pasākumi" plānoto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paredzētajiem pasākumiem attiecībā uz darba ņēmēju, īpaši gados vecāko, veselības veicināšanu, kas atzīmēti kā mērķa grupa. Kā arī lūgums iekļaut informāciju par starpinstitūciju informācijas apmaiņas procesu par projekta aktivitātēm, lai plānotie pasākumi būtu mērķētāki, pinveidotāki un arī tiktu novērsta darbību dublēšanās dažādos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pasākumus noteiks finansējuma saņēmējs projektā, un anotācijā tos nav jāraksta, bet paredzēts īstenot dažādus pasākumus attiecībā uz darba ņēmēju, īpaši gados vecāko, veselības veicināšanu un ne tikai. Zemāk sniegts aktivitāšu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Izglītot iedzīvotājus par fizisko aktivitāšu nozīmi veselības stiprināšanā, par piemērotākajām fiziskajām aktivitātēm, kā arī traumu profilaksi un iespējām būt fiziski aktīviem ikdienā, īstenojot dažādām mērķa grupām paredzētus pasākumus (traumatisma profilakses pasākumi darbspējas vecuma iedzīvotājiem, ar fokusu uz kritienu prevenciju – mājās, darba vietā, dārza darbos utml. Pirmās palīdzības sniegšana traumu gadījumā, kā izvērtēt traumas bīstamību, kurās situācijās jāsauc/nav jāsauc Neatliekamās medicīniskās palīdzības dienests, primārās veselības aprūpes ārstu un konsultatīvo tālruņu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starpinstitūciju informācijas apmaiņas procesu par projekta aktivitātēm, lai plānotie pasākumi būtu mērķētāki, pilnveidotāki un arī tiktu novērsta darbību dublēšanās dažādos projektos, skaidrojam, ka dublēšanās nav, pasākumiem ir papildinošā ietekme, pasākumiem ir papildinošā ietekme, pasākumi tiks īstenoti atbilstoši Sabiedrības veselības pamatnostādnēm, starpinstitūciju sadarbības veselības veicināšanas pasākumi un slimību profilakses pasākumi notiks caur Veselības ministrijas projektu vadības grupām un Slimību profilakses un kontroles centru kā vadošo sabiedrības veselības funkcijas īstenotāju, caur Nacionālo veselīgo pašvaldību tīklu.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dažiem piemēriem sabiedrības veselības pētījumiem, kurus paredzēts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pētījumus noteiks finansējuma saņēmējs projektā, tiem ir jābūt atbilstoši Sabiedrības veselības pamatnostādnēm, piemēram -  pētījums par  iedzīvotāju seksuālās un reproduktīvās veselības paradumu izmaiņām dinamikā, azartspēļu, videospēļu  spēlēšanas un citu jauno tehnoloģiju (piemēram, sociālo mediju un viedierīču) lietošanas paradumu  izplatības pētījums iedzīvotāju vidū.</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Sabiedrības veselības pamatnostādnes 2021-2027.gadam (6.pielikums) https://tapportals.mk.gov.lv/legal_acts/746a6c77-a9f4-4182-9084-e4ab10484b2e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papildināt situācijas aprakstā sniegto informāciju, konkrētāk raksturojot iedzīvotāju  veselības situāciju un to ietekmējošos aspektus, kā arī 2014.-2020. ES fondu plānošanas periodā veikto ieguldījumu ietekmes novērtējumu, balstoties uz statistikas datiem, pētījumiem vai citiem faktos balstītiem datu avotiem.  Šobrīd sniegtajā situācijas aprakstu lielā mērā veido vispārīgas frāzes par veselības veicināšanas nozīmi, cik būtiski ir mazināt nevienlīdzību, bet nav sniegti konkrēti dati par jau īstenotajiem pasākumiem un to ietekmi uz iedzīvotāju veselības situāciju vai informētību, kas sniegtu skaidrus priekšstatu par situāciju jautājumā. Tāpat aicinām situācijas aprakstā izvairīties no redakcijām "pierādīts, ka", ja vien tam netiek pievienota atsauce uz datu vai apgalvojumu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“Pašreizējā situācija, problēmas un risinājumi” pie iznākuma rādītāja, ka Eiropas Savienības Kohēzijas politikas programmas 2021. – 2027. gadam (turpmāk – Programma) rādītājs tiks uzskatīts par sasniegtu, kad tiks noslēgts līgums vai vienošanās par projekta īstenošanu, kā arī precizēt pie rezultāta rādītāja, ka Programmas rādītājs r.4.1.2.a tiks uzskatīts par sasniegtu pēc 4.1.2.1. pasākuma “Nacionāla mēroga veselības veicināšanas un slimību profilakses pasākumi”, 4.1.2.2. pasākuma “Veselības veicināšanas un slimību profilakses pasākumu īstenošana vietējai sabiedrībai”, 4.1.2.3. pasākuma “Pasākumi atkarīgo personu resocializācijai un atgriešanai darba tirgū, kā arī preventīvie pasākumi jauniešiem” un 4.1.2.4. pasākuma “Pierādījumos balstītu narkotiku lietošanas profilakses programmu īstenošana un profilakses kvalitātes standartu ieviešana” pabeigšanas kā tas norādīts 4.1.2.SAM rādītāju metodoloģijas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iznākuma rādītājs ir nacionāla, reģionāla vai vietēja mēroga valsts administrācijas vai sabiedrisko pakalpojumu iestāžu un pakalpojumu skaits, kas saņēmušas atbalstu, līdz 2029. gada 31. decembrim nodrošinot, ka atbalstu būs saņēmušas vismaz 3 iestādes, tostarp uz 2024. gada 31. decembri atbalstu būs saņēmušas vismaz 3 iestādes. Eiropas Savienības Kohēzijas politikas programmas 2021. – 2027. gadam (turpmāk – Programma) rādītājs EECO18, tiks uzskatīts par sasniegtu, kad tiks noslēgts līgums vai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 atbalsta mērķa rezultāta rādītājs ir iedzīvotāju skaits, kuri pēdējā gada laikā veselības apsvērumu dēļ ESF+ veselības veicināšanas pasākumu ietekmē ir mainījuši uztura un citus dzīvesveida paradumus,  nodrošinot, ka uz 2029. gada 31.decembri sasniegta rādītāja vērtība 50 000 iedzīvotāji. Programmas rādītājs r.4.1.2.a tiks uzskatīts par sasniegtu pēc 4.1.2.1. pasākuma “Nacionāla mēroga veselības veicināšanas un slimību profilakses pasākumi”, 4.1.2.2. pasākuma “Veselības veicināšanas un slimību profilakses pasākumu īstenošana vietējai sabiedrībai”, 4.1.2.3. pasākuma “Pasākumi atkarīgo personu resocializācijai un atgriešanai darba tirgū, kā arī preventīvie pasākumi jauniešiem” un 4.1.2.4. pasākuma “Pierādījumos balstītu narkotiku lietošanas profilakses programmu īstenošana un profilakses kvalitātes standartu ieviešana”pabeigšanas.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visu obligāti norādāmo informāciju, kas iekļaujama, piemērojot vienoto likmi līdz 20 % personāla atlīdzības izmaksu segšanai. Papildus vēršam uzmanību, ka likmes precīzs apmērs vēl ir saskaņošanas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š.g. 20.jūlija saņemto atbildi no Vadošās iestādes par vienotās likmes apmēra aprēķina saskaņojumu 20% apmērā pasākuma personāla atlīdzības izmaksām, ir 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teikumu "Plānotie ieguldījumi veicinās Bauhaus mērķu sasniegšanu", ņemot vērā, ka pasākumā nav paredzēti ieguldījumi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atbildi uz anotācijas 8.1.13. punkta "uz datu aizsardzību" jautājumu "Vai projekts skar šo jomu?" precizēt uz “Jā”, ņemot vērā, ka projektu ietvaros ir jāuzkrāj personu dati un jāievēro datu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anotācijā norādīts, ka 4.1.2.1. pasākuma investīcijām nav ietekmes uz horizontālajiem principiem: “Klimatdrošināšana”; “Energoefektivitāte pirmajā vietā” un “Nenodarīt būtisku kaitējumu”. Lūdzam anotācijas uz sadaļas 8.1.6. "uz vidi" jautājumu "Vai projekts skar šo jomu?" sniegt atbildi “Nē”, kā arī lūdzam svītrot teikumu: “Īstenojot projektu, finansējuma saņēmējs nodrošina, ka projekts izpilda nepieciešamās prasības principa “Nenodarīt būtisku kaitējumu”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8.2.sadaļā “Cita informācija” norādīts, ka 4.1.2.1. pasākuma investīcijām nav ietekmes uz horizontālo principu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sadaļu "7.1. Projekta izpildē iesaistītās institūcijas" papildināt ar noteikumu projekta 16.punktā norādītajiem sadarbības partneriem - Latvijas Antidopinga biroju un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ietekmes uz personu ar invaliditāti vienlīdzīgām iespējām un tiesībām aprakstu atbilstoši Labklājības ministrijas un Tieslietu ministrijas vadlīnijām [1], iekļaujot specifiskās un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to kā pasākumi netieši veicinās arī dzimumu līdztiesību, ņemot vērā to, ka viens no galvenajiem mērķiem, kas ar šiem pasākumiem ir nepieciešams panākt, ir mazināt sieviešu un vīriešu paredzamā mūža ilguma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sadaļu ar vispārīgajām un specifiskajām horizontālā principa "Vienlīdzība, iekļaušana, nediskriminācija un pamattiesību ievērošana" darbībām, kuras sekmēs dzimumu līdztiesību, atbilstoši LM vadlīnijās noteiktajam https://www.lm.gov.lv/lv/vadlinijas-horizontala-principa-vienlidziba-ieklausana-nediskriminacija-un-pamattiesibu-ieverosana-istenosanai-un-uzraudzibai-2021-2027.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darbības, kas netieši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Vispārīgās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piemēram, veicinot mazāk pārstāvētā dzimuma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Specifiskās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programmas, kas vērstas uz atšķirību mazināšanu sieviešu un vīriešu paredzamajā mūža ilgumā;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sabiedrībā valdošo stereotipu un priekšstatu maiņas programmas un pasākumi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izglītojošu programmu satura izvērtēšanai no dzimumu līdztiesības viedokļa (attiecīgi pievienojot dokumentus, piem. konsultāciju protokolus, pakalpojuma līgumus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 pasākuma ietekmi uz horizontālo principu "Vienlīdzība, iekļaušana, nediskriminācija un pamattiesību ievērošana"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 finansējuma saņēmējs nodrošina nepārklāšanās principu ar citiem valsts un ārvalstu finanšu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4.1.2.1. pasākuma "Nacionāla mēroga veselības veicināšanas un slimību profilakses pasākumi" ietvaros viens no finansējuma saņēmējiem būs Paula Stradiņa Medicīnas vēstures muzejs, un plānots atbalsts tādām darbībā kā jaunu ekspozīciju izveide, kur iespējami neto ieņēmumi, lūdzam papildināt noteikumu projektu ar nosacījumu, ka finansējuma saņēmējam ir pienākums nodrošināt atsevišķu grāmatvedības uzskaiti ar projekta īstenošanu saistītajiem ieņēmumiem un izdevumiem, un ja finansējuma saņēmējs projekta īstenošanas rezultātā gūst neto ieņēmumus, sadarbības iestāde tos atskaita no noslēguma maksājuma, vai papildināt noteikumu projekta anotāciju ar informāciju, ka projekta īstenošanas laikā netiks noteikta ieejas maksa uz projekta ietvaros izveidoto ekspozīciju- Bērnu muzeja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ieņēmumi ir gūti, veicot noslēguma maksājuma pieprasījuma pārbaudi un apstiprinot attiecināmos izdevumus, sadarbības iestādei ir jāpārliecinās, vai maksājuma pieprasījuma tabulā ir norādīta gūto ieņēmumu summa un vai projekta kopējo attiecināmo izdevumu summa ir atbilstoši samazināta. Finansējuma saņēmējs gūto ieņēmumu summu pa budžeta pozīcijām var samazināt vai nu proporcionāli no visām pozīcijām, vai no konkrētas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37.5. apakšpunktu un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nodrošina atsevišķu grāmatvedības uzskaiti par finansējuma izlietojumu projektā, nodalot tā ietvaros veiktās darbības no citas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finansējuma saņēmējs projekta īstenošanas rezultātā gūst neto ieņēmumus, saskaņā ar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65. panta 8. punktu sadarbības iestāde tos atskaita no noslēguma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 - 2027. gada plānošanas perioda vadības likuma 19. 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objektīvu un izvērstu pamatojumu, kādēļ 4.1.2.1.pasākuma ietvaros nav paredzēts veikt izvērtējumu par izmaksu un ieguvumu analīzi.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 - 2027. gada plānošanas perioda vadības likuma 19. panta 6. un 13.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ar jaunu punktu, par zaļo publisko iepirkumu, lai veicinātu Eiropas Zaļā kursa un klimata pārmaiņu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noteikuma projektu papildināt ar jaunu punktu par plānoto atbalsta veidu saskaņā ar vadošās iestādes vadlīniju projekta “Vadlīnijas Ministru kabineta noteikumu par specifiskā  atbalsta mērķa īstenošanu izstrādei Eiropas Savienības fondu 2021.—2027. gada plānošanas periodā”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atbalsta projektu iesniegumu atlases īsteno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saskaņā ar MK noteikumu 22.punktu atlase tiek organizēta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atbalsta projektu iesniegumu atlasi īsteno ierobežotas projektu iesniegumu atlases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sadarbības iestādes funkcijas pilda un slēdz vienošanos par projekta īstenošanu Centrālā finanšu un līgumu aģentūra  (turpmāk –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4.punktu, jo Centrālā finanšu un līgumu aģentūra kā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plānotais kopējais attiecināmais finansējums ir 13 185 480 </w:t>
            </w:r>
            <w:r w:rsidR="00000000" w:rsidRPr="00000000" w:rsidDel="00000000">
              <w:rPr>
                <w:i w:val="1"/>
                <w:rtl w:val="0"/>
              </w:rPr>
              <w:t xml:space="preserve">euro</w:t>
            </w:r>
            <w:r w:rsidR="00000000" w:rsidRPr="00000000" w:rsidDel="00000000">
              <w:rPr>
                <w:rtl w:val="0"/>
              </w:rPr>
              <w:t xml:space="preserve"> (tai skaitā elastības finansējuma apjoms 4 715 030 </w:t>
            </w:r>
            <w:r w:rsidR="00000000" w:rsidRPr="00000000" w:rsidDel="00000000">
              <w:rPr>
                <w:i w:val="1"/>
                <w:rtl w:val="0"/>
              </w:rPr>
              <w:t xml:space="preserve">euro</w:t>
            </w:r>
            <w:r w:rsidR="00000000" w:rsidRPr="00000000" w:rsidDel="00000000">
              <w:rPr>
                <w:rtl w:val="0"/>
              </w:rPr>
              <w:t xml:space="preserve">), tai skaitā Eiropas Sociālā fonda Plus finansējums – 11 207 658 </w:t>
            </w:r>
            <w:r w:rsidR="00000000" w:rsidRPr="00000000" w:rsidDel="00000000">
              <w:rPr>
                <w:i w:val="1"/>
                <w:rtl w:val="0"/>
              </w:rPr>
              <w:t xml:space="preserve">euro</w:t>
            </w:r>
            <w:r w:rsidR="00000000" w:rsidRPr="00000000" w:rsidDel="00000000">
              <w:rPr>
                <w:rtl w:val="0"/>
              </w:rPr>
              <w:t xml:space="preserve"> (tai skaitā elastības finansējuma apjoms 4 007 776 </w:t>
            </w:r>
            <w:r w:rsidR="00000000" w:rsidRPr="00000000" w:rsidDel="00000000">
              <w:rPr>
                <w:i w:val="1"/>
                <w:rtl w:val="0"/>
              </w:rPr>
              <w:t xml:space="preserve">euro</w:t>
            </w:r>
            <w:r w:rsidR="00000000" w:rsidRPr="00000000" w:rsidDel="00000000">
              <w:rPr>
                <w:rtl w:val="0"/>
              </w:rPr>
              <w:t xml:space="preserve">) un valsts budžeta līdzfinansējums – 1 977 822 </w:t>
            </w:r>
            <w:r w:rsidR="00000000" w:rsidRPr="00000000" w:rsidDel="00000000">
              <w:rPr>
                <w:i w:val="1"/>
                <w:rtl w:val="0"/>
              </w:rPr>
              <w:t xml:space="preserve">euro</w:t>
            </w:r>
            <w:r w:rsidR="00000000" w:rsidRPr="00000000" w:rsidDel="00000000">
              <w:rPr>
                <w:rtl w:val="0"/>
              </w:rPr>
              <w:t xml:space="preserve"> (tai skaitā elastības finansējuma apjoms 707 254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10. un 11.punktā dzēst vārdu "attiecināmais" pirms vārda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plānotais kopējais finansējums ir 13 185 480 </w:t>
            </w:r>
            <w:r w:rsidR="00000000" w:rsidRPr="00000000" w:rsidDel="00000000">
              <w:rPr>
                <w:i w:val="1"/>
                <w:rtl w:val="0"/>
              </w:rPr>
              <w:t xml:space="preserve">euro</w:t>
            </w:r>
            <w:r w:rsidR="00000000" w:rsidRPr="00000000" w:rsidDel="00000000">
              <w:rPr>
                <w:rtl w:val="0"/>
              </w:rPr>
              <w:t xml:space="preserve"> (tai skaitā elastības finansējuma apjoms 4 715 030 </w:t>
            </w:r>
            <w:r w:rsidR="00000000" w:rsidRPr="00000000" w:rsidDel="00000000">
              <w:rPr>
                <w:i w:val="1"/>
                <w:rtl w:val="0"/>
              </w:rPr>
              <w:t xml:space="preserve">euro</w:t>
            </w:r>
            <w:r w:rsidR="00000000" w:rsidRPr="00000000" w:rsidDel="00000000">
              <w:rPr>
                <w:rtl w:val="0"/>
              </w:rPr>
              <w:t xml:space="preserve">), tai skaitā Eiropas Sociālā fonda Plus finansējums – 11 207 658 </w:t>
            </w:r>
            <w:r w:rsidR="00000000" w:rsidRPr="00000000" w:rsidDel="00000000">
              <w:rPr>
                <w:i w:val="1"/>
                <w:rtl w:val="0"/>
              </w:rPr>
              <w:t xml:space="preserve">euro</w:t>
            </w:r>
            <w:r w:rsidR="00000000" w:rsidRPr="00000000" w:rsidDel="00000000">
              <w:rPr>
                <w:rtl w:val="0"/>
              </w:rPr>
              <w:t xml:space="preserve"> (tai skaitā elastības finansējuma apjoms 4 007 776 </w:t>
            </w:r>
            <w:r w:rsidR="00000000" w:rsidRPr="00000000" w:rsidDel="00000000">
              <w:rPr>
                <w:i w:val="1"/>
                <w:rtl w:val="0"/>
              </w:rPr>
              <w:t xml:space="preserve">euro</w:t>
            </w:r>
            <w:r w:rsidR="00000000" w:rsidRPr="00000000" w:rsidDel="00000000">
              <w:rPr>
                <w:rtl w:val="0"/>
              </w:rPr>
              <w:t xml:space="preserve">) un valsts budžeta līdzfinansējums – 1 977 822 </w:t>
            </w:r>
            <w:r w:rsidR="00000000" w:rsidRPr="00000000" w:rsidDel="00000000">
              <w:rPr>
                <w:i w:val="1"/>
                <w:rtl w:val="0"/>
              </w:rPr>
              <w:t xml:space="preserve">euro</w:t>
            </w:r>
            <w:r w:rsidR="00000000" w:rsidRPr="00000000" w:rsidDel="00000000">
              <w:rPr>
                <w:rtl w:val="0"/>
              </w:rPr>
              <w:t xml:space="preserve"> (tai skaitā elastības finansējuma apjoms 707 254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šo noteikumu </w:t>
            </w:r>
            <w:r w:rsidR="00000000" w:rsidRPr="00000000" w:rsidDel="00000000">
              <w:rPr>
                <w:rtl w:val="0"/>
              </w:rPr>
              <w:t xml:space="preserve">15.1.</w:t>
            </w:r>
            <w:r w:rsidR="00000000" w:rsidRPr="00000000" w:rsidDel="00000000">
              <w:rPr>
                <w:rtl w:val="0"/>
              </w:rPr>
              <w:t xml:space="preserve"> apakšpunktā minētais projekta iesniedzējs sadarbības partneru statusā deleģēto valsts pārvaldes funkciju ietvaros var piesaistīt veselības nozares valsts pārvaldes iestādes un valsts kapitālsabiedrības, kas izstrādā, organizē, uzrauga un ievieš valsts politiku sabiedrības veselības jomā - Slimību profilakses un kontroles centrs, Neatliekamās medicīniskās palīdzības dienests, Veselības inspekcija, VSIA “Bērnu klīniskā universitātes slimnīca”, Latvijas Antidopinga birojs un Zāļu valsts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projektā paredzēts arī sadarbības partneris, MK noteikumos norāda finansējuma saņēmēja un sadarbības partnera sadarbības pamatprincipus, pienākumus un tiesības, mērķu un rādītāju savstarpējo sasniegšanas dalījumu (ja attiecināms). Nepieciešams skaidri norādīt sadarbības partnera veicamās darbības un resursus, ar kādiem tas iesaistās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šo noteikumu </w:t>
            </w:r>
            <w:r w:rsidR="00000000" w:rsidRPr="00000000" w:rsidDel="00000000">
              <w:rPr>
                <w:rtl w:val="0"/>
              </w:rPr>
              <w:t xml:space="preserve">15.1.</w:t>
            </w:r>
            <w:r w:rsidR="00000000" w:rsidRPr="00000000" w:rsidDel="00000000">
              <w:rPr>
                <w:rtl w:val="0"/>
              </w:rPr>
              <w:t xml:space="preserve"> apakšpunktā minētais projekta iesniedzējs sadarbības partneru statusā deleģēto valsts pārvaldes funkciju ietvaros var piesaistīt veselības nozares valsts pārvaldes iestādes un valsts kapitālsabiedrības, kas izstrādā, organizē, uzrauga un ievieš valsts politiku sabiedrības veselības jomā – Slimību profilakses un kontroles centrs, Neatliekamās medicīniskās palīdzības dienests, Veselības inspekcija, VSIA “Bērnu klīniskā universitātes slimnīca”, Latvijas Antidopinga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saņēmējs atbilstoši normatīvajiem aktiem par kārtību, kādā ES fondu vadībā iesaistītās institūcijas nodrošina šo fondu ieviešanu 2021. – 2027. gada plānošanas periodā slēdz sadarbības līgumus ar sadarbības partneriem, kontrolē to izpildi un novērš dubultā finansējuma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15. punktam ir divi projekta iesniedzēji, attiecīgi pēc projekta iesniegumu apstiprināšanas divi finansējuma saņēmēji, lūdzam precizēt vārdus “finansējuma saņēmējs” uz daudzskaitli.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Papildus skaidrojam, ka atbilstoši šo noteikumu 17.punktam sadarbības līgumus ar sadarbības partneriem var slēgt tikai šo noteikumu projekta 16.1. apakšpunktā minētais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15.1.</w:t>
            </w:r>
            <w:r w:rsidR="00000000" w:rsidRPr="00000000" w:rsidDel="00000000">
              <w:rPr>
                <w:rtl w:val="0"/>
              </w:rPr>
              <w:t xml:space="preserve"> apakšpunktā minētais finansējuma saņēmējs atbilstoši normatīvajiem aktiem, kas nosaka kārtību, kādā Eiropas Savienības (turpmāk - ES) fondu vadībā iesaistītās institūcijas nodrošina šo fondu ieviešanu 2021. – 2027. gada plānošanas periodā slēdz sadarbības līgumus ar sadarbības partneriem, kontrolē to izpildi un novērš dubultā finansējuma riskus. Sadarbības līgumā iekļauj vismaz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maksājumu veikšanas kārtība šo noteikumu </w:t>
            </w:r>
            <w:r w:rsidR="00000000" w:rsidRPr="00000000" w:rsidDel="00000000">
              <w:rPr>
                <w:rtl w:val="0"/>
              </w:rPr>
              <w:t xml:space="preserve">27.</w:t>
            </w:r>
            <w:r w:rsidR="00000000" w:rsidRPr="00000000" w:rsidDel="00000000">
              <w:rPr>
                <w:rtl w:val="0"/>
              </w:rPr>
              <w:t xml:space="preserve"> punktā minēto atbalstāmo darbību īstenošanai un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 minēto attiecināmo tiešo un netiešo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18.3.apakšpunktu, ņemot vērā, ka minētais dublē Ministru kabineta 2023. gada 13. jūlija noteikumu Nr.408 "Kārtība, kādā Eiropas Savienības fondu vadībā iesaistītās institūcijas nodrošina šo fondu ieviešanu 2021.–2027. gada plānošanas periodā" 6.2. un 6.4.apakšpunktā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ir atbildīgs par projekta mērķa, rezultātu un rādītāju sasniegšanu tādā apjomā, kā noteikts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projektā 20.1.apakšpunktu, ņemot vērā, ka minētais pārklājas ar noteikumu projekta 18.1.apakšpunktu.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18. un 86. pantu pēc 2026. gada 1. janvāra atbildīgā iestāde var ierosināt palielināt šo noteikumu </w:t>
            </w:r>
            <w:r w:rsidR="00000000" w:rsidRPr="00000000" w:rsidDel="00000000">
              <w:rPr>
                <w:rtl w:val="0"/>
              </w:rPr>
              <w:t xml:space="preserve">15.1.</w:t>
            </w:r>
            <w:r w:rsidR="00000000" w:rsidRPr="00000000" w:rsidDel="00000000">
              <w:rPr>
                <w:rtl w:val="0"/>
              </w:rPr>
              <w:t xml:space="preserve"> apakšpunktā minētajam projekta iesniedzējam pieejamo kopējo attiecināmo finansējumu līdz šo noteikumu </w:t>
            </w:r>
            <w:r w:rsidR="00000000" w:rsidRPr="00000000" w:rsidDel="00000000">
              <w:rPr>
                <w:rtl w:val="0"/>
              </w:rPr>
              <w:t xml:space="preserve">19.1.</w:t>
            </w:r>
            <w:r w:rsidR="00000000" w:rsidRPr="00000000" w:rsidDel="00000000">
              <w:rPr>
                <w:rtl w:val="0"/>
              </w:rPr>
              <w:t xml:space="preserve"> apakšpunktā minētajam apmēram. Šādā gadījumā šo noteikumu </w:t>
            </w:r>
            <w:r w:rsidR="00000000" w:rsidRPr="00000000" w:rsidDel="00000000">
              <w:rPr>
                <w:rtl w:val="0"/>
              </w:rPr>
              <w:t xml:space="preserve">15.1.</w:t>
            </w:r>
            <w:r w:rsidR="00000000" w:rsidRPr="00000000" w:rsidDel="00000000">
              <w:rPr>
                <w:rtl w:val="0"/>
              </w:rPr>
              <w:t xml:space="preserve"> apakšpunktā minētais projekta iesniedzējs veic grozījumus vienošanās par projekta īstenošanu, paredzot kopējā attiecināmā finansējuma palielinājumu par elastības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anotācijā skaidrot to, vai projektā palielinot MK noteikumu 15.1. apakšpunktā minētajam projekta iesniedzējam pieejamo kopējo attiecināmo finansējumu līdz MK noteikumu 19.1. apakšpunktā minētajam apmēram, finansējuma saņēmējam tiks izvirzīti papildu nosacījumi, piemēram, projektā ir jāparedz papildu darbību īstenošana vai esošo darbību rezultātu kvantitatīvi izmērams pieaugums, vai uzraudzības rādītāju skaitliskais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9. punktā norādītas iznākuma rādītājs jau paredz starpposma rādītāju uz vidusposma izvērtējumu - pasākuma iznākuma rādītājs ir nacionāla, reģionāla vai vietēja mēroga valsts administrācijas vai sabiedrisko pakalpojumu iestāžu un pakalpojumu skaits, kas saņēmušas atbalstu, līdz 2029. gada 31. decembrim nodrošinot, ka atbalstu būs saņēmušas vismaz 3 iestādes, tostarp uz 2024. gada 31. decembri atbalstu būs saņēmušas vismaz 3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10.punktā noteiktais specifiskā atbalsta mērķa rezultāta rādītājs ir iedzīvotāju skaits, kuri pēdējā gada laikā veselības apsvērumu dēļ Eiropas Sociālā fonda Plus veselības veicināšanas pasākumu ietekmē ir mainījuši uztura un citus dzīvesveida paradumus,  nodrošinot, ka uz 2029. gada 31.decembri sasniegta rādītāja vērtība 50 000 iedzīvotāji – kopējais 4.1.2. SAM visu pasākumu rādītājs, kura sasniegšanu nodrošina visu pasākumu un projektu darbību rezultātā, tas ir SAM līmeņa rādītājs un tam nav vidussposma vērtības, tostarp skatoties pēc būtības, riska nesasniegt rādītāju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jautājumu – vai nav jāparedz papildu darbību īstenošana vai esošo darbību rezultātu kvantitatīvi izmērams pieaugums, vai uzraudzības rādītāju skaitliskais pieaugums – atbilde ir nē, to jau paredz 9.punkta rādītājs – iestāžu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Saskaņā ar Eiropas Parlamenta un Padomes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18. un 86. pantu pēc 2026. gada 1. janvāra atbildīgā iestāde var ierosināt palielināt šo noteikumu </w:t>
            </w:r>
            <w:r w:rsidR="00000000" w:rsidRPr="00000000" w:rsidDel="00000000">
              <w:rPr>
                <w:rtl w:val="0"/>
              </w:rPr>
              <w:t xml:space="preserve">15.1.</w:t>
            </w:r>
            <w:r w:rsidR="00000000" w:rsidRPr="00000000" w:rsidDel="00000000">
              <w:rPr>
                <w:rtl w:val="0"/>
              </w:rPr>
              <w:t xml:space="preserve"> apakšpunktā minētajam projekta iesniedzējam pieejamo kopējo attiecināmo finansējumu līdz šo noteikumu </w:t>
            </w:r>
            <w:r w:rsidR="00000000" w:rsidRPr="00000000" w:rsidDel="00000000">
              <w:rPr>
                <w:rtl w:val="0"/>
              </w:rPr>
              <w:t xml:space="preserve">20.1.</w:t>
            </w:r>
            <w:r w:rsidR="00000000" w:rsidRPr="00000000" w:rsidDel="00000000">
              <w:rPr>
                <w:rtl w:val="0"/>
              </w:rPr>
              <w:t xml:space="preserve"> apakšpunktā minētajam apmēram. Šādā gadījumā šo noteikumu </w:t>
            </w:r>
            <w:r w:rsidR="00000000" w:rsidRPr="00000000" w:rsidDel="00000000">
              <w:rPr>
                <w:rtl w:val="0"/>
              </w:rPr>
              <w:t xml:space="preserve">15.1.</w:t>
            </w:r>
            <w:r w:rsidR="00000000" w:rsidRPr="00000000" w:rsidDel="00000000">
              <w:rPr>
                <w:rtl w:val="0"/>
              </w:rPr>
              <w:t xml:space="preserve"> apakšpunktā minētais projekta iesniedzējs veic grozījumus vienošanās par projekta īstenošanu, paredzot kopējā attiecināmā finansējuma palielinājumu par elastības finansējuma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īstenošanas personāla atlīdzības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darbības nosaukumu, izslēdzot vārdus "personāla atlīdzības", ņemot vērā, ka darbības pamatmērķis/būtība ir projekta īstenošanas nodrošināšana, nevis personāla atlīdzības nodrošināšana. Atbilstoši lūdzam precizēt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26.1. apakšpunkts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īstenošanas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27.2.</w:t>
            </w:r>
            <w:r w:rsidR="00000000" w:rsidRPr="00000000" w:rsidDel="00000000">
              <w:rPr>
                <w:rtl w:val="0"/>
              </w:rPr>
              <w:t xml:space="preserve"> apakšpunktā minētā atbalstāmā darbība ir atbalstāma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minētajiem finansējuma saņēmējiem un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papildināt ar jaunu apakšpunktu, iekļaujot izmaksas horizontālā principa “Vienlīdzība, iekļaušana, nediskriminācija un pamattiesību ievērošana” darbību īstenošanai (piemēram, zīmju valodas tulka, vieglās valodas tulkošanas, reāllaika transkripcijas, subtitru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28.5.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26.2.</w:t>
            </w:r>
            <w:r w:rsidR="00000000" w:rsidRPr="00000000" w:rsidDel="00000000">
              <w:rPr>
                <w:rtl w:val="0"/>
              </w:rPr>
              <w:t xml:space="preserve"> apakšpunktā minētā atbalstāmā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27.2.</w:t>
            </w:r>
            <w:r w:rsidR="00000000" w:rsidRPr="00000000" w:rsidDel="00000000">
              <w:rPr>
                <w:rtl w:val="0"/>
              </w:rPr>
              <w:t xml:space="preserve"> apakšpunktā minētā atbalstāmā darbība ir atbalstāma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minētajiem finansējuma saņēmējiem un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vārdiem "sadarbības partneriem" iekļaut skaitli un vārdus  "17.punktā minētajiem", ņemot vērā, ka 16.punkta apakšpunktos nav minēti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MK noteikumu 30. un 31.punktu.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28.punkts.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26.2.</w:t>
            </w:r>
            <w:r w:rsidR="00000000" w:rsidRPr="00000000" w:rsidDel="00000000">
              <w:rPr>
                <w:rtl w:val="0"/>
              </w:rPr>
              <w:t xml:space="preserve"> apakšpunktā minētā atbalstāmā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izmaksas par sabiedrības informēšanas pasākumiem attiecībā uz slimību profilaksi.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26.1.punkts jau iekļauj arī 26.4.punktā atrunāto – informēšanas pasākumus par slimību profilaksi, lūdzam izvērtēt, vai 26.4.punktā atrunātā izmaksu pozīcija nebūtu dzēšama. Ja punkts tiek dzēsts,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punkti par atbalstāmajām darbībām, un attiecināmo izmaksu pozīcijām, vienlaikus sniegti skaidrojumi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informatīvo materiālu izgatavošanas, drukas un izplatīšanas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26.3.</w:t>
            </w:r>
            <w:r w:rsidR="00000000" w:rsidRPr="00000000" w:rsidDel="00000000">
              <w:rPr>
                <w:rtl w:val="0"/>
              </w:rPr>
              <w:t xml:space="preserve"> apakšpunktā minētā atbalstāmā darbība ir atbalstāma tikai šo noteikumu </w:t>
            </w:r>
            <w:r w:rsidR="00000000" w:rsidRPr="00000000" w:rsidDel="00000000">
              <w:rPr>
                <w:rtl w:val="0"/>
              </w:rPr>
              <w:t xml:space="preserve">15.1.</w:t>
            </w:r>
            <w:r w:rsidR="00000000" w:rsidRPr="00000000" w:rsidDel="00000000">
              <w:rPr>
                <w:rtl w:val="0"/>
              </w:rPr>
              <w:t xml:space="preserve"> apakšpunktā minētajam finansējuma saņēmējam un sadarbības partneriem un ietver visas ar pētījumu īstenošanu un informācijas izplatīšanu par sabiedrības veselības pētījumiem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29. un 30.punktā pirms vārdiem "sadarbības partneriem" iekļaut skaitli, zīmi un vārdus "16.punktā minētajiem", ņemot vērā, ka 15.punkta apakšpunktos nav minēti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29.punkts.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26.3.</w:t>
            </w:r>
            <w:r w:rsidR="00000000" w:rsidRPr="00000000" w:rsidDel="00000000">
              <w:rPr>
                <w:rtl w:val="0"/>
              </w:rPr>
              <w:t xml:space="preserve"> apakšpunktā minētā atbalstāmā darbība ir atbalstāma tikai šo noteikumu </w:t>
            </w:r>
            <w:r w:rsidR="00000000" w:rsidRPr="00000000" w:rsidDel="00000000">
              <w:rPr>
                <w:rtl w:val="0"/>
              </w:rPr>
              <w:t xml:space="preserve">15.1.</w:t>
            </w:r>
            <w:r w:rsidR="00000000" w:rsidRPr="00000000" w:rsidDel="00000000">
              <w:rPr>
                <w:rtl w:val="0"/>
              </w:rPr>
              <w:t xml:space="preserve"> apakšpunktā minētajam finansējuma saņēmējam un </w:t>
            </w:r>
            <w:r w:rsidR="00000000" w:rsidRPr="00000000" w:rsidDel="00000000">
              <w:rPr>
                <w:rtl w:val="0"/>
              </w:rPr>
              <w:t xml:space="preserve">16.</w:t>
            </w:r>
            <w:r w:rsidR="00000000" w:rsidRPr="00000000" w:rsidDel="00000000">
              <w:rPr>
                <w:rtl w:val="0"/>
              </w:rPr>
              <w:t xml:space="preserve"> punktā minētajiem sadarbības partneriem un ietver visas ar pētījumu īstenošanu un informācijas izplatīšanu par sabiedrības veselības pētījumiem saistītās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27.</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28.</w:t>
            </w:r>
            <w:r w:rsidR="00000000" w:rsidRPr="00000000" w:rsidDel="00000000">
              <w:rPr>
                <w:rtl w:val="0"/>
              </w:rPr>
              <w:t xml:space="preserve"> punktā minētajām projekta tiešajām personāla atlīdzības izmaksām. Ja projekta īstenošanai tiek piesaistīts sadarbības partneris, netiešo attiecināmo izmaksu sadalījums starp projekta iesniedzēju un sadarbības partneriem tiek noteikts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33.punkta pēdējo teikumu, ņemot vērā, ka minētais izriet no Ministru kabineta 2023. gada 13. jūlija noteikumu Nr.408 "Kārtība, kādā Eiropas Savienības fondu vadībā iesaistītās institūcijas nodrošina šo fondu ieviešanu 2021.–2027. gada plānošanas periodā" 6.2.apakšpunkta.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26.</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27.</w:t>
            </w:r>
            <w:r w:rsidR="00000000" w:rsidRPr="00000000" w:rsidDel="00000000">
              <w:rPr>
                <w:rtl w:val="0"/>
              </w:rPr>
              <w:t xml:space="preserve"> punktā minētajām projekta tiešajām personāla atlīdzības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24.6.</w:t>
            </w:r>
            <w:r w:rsidR="00000000" w:rsidRPr="00000000" w:rsidDel="00000000">
              <w:rPr>
                <w:rtl w:val="0"/>
              </w:rPr>
              <w:t xml:space="preserve"> apakšpunktā minētās atbalstāmās darbības ietvaros ir attiecināmas informācijas un publicitātes nodrošināšanas izmaksas atbilstoši regulā Nr. 2021/1060 47. un 50. pantā noteiktajām prasībām, kā arī atbilstoši normatīvajiem aktiem par ES fondu ieviešanu 2021.–2027.gada plānošanas periodā, kā arī ievēro saistītās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prasību nodrošināšanas izmaksas atbilstoši Regulas 2021/1060 47. pantam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nodokļa maksājumi, kas tiešā veidā saistīti ar projektu, ir attiecināmās izmaksas, ja finansējuma saņēmējs tos nevar atgūt normatīvajos aktos par pievienotās vērtības nodokli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punktu papildinot to ar atsauci uz Regulas 2021/1060 64. panta 1. punkta “c” apakšpunktu atbilstoši FM vadlīniju nr. 1.4. "Vadlīnijas Ministru kabineta noteikumu par specifiskā atbalsta mērķa īstenošanu izstrādei Eiropas Savienības fondu 2021.—2027. gada plānošanas periodā" 21. punkta "e"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nodokļa maksājumi, kas tiešā veidā saistīti ar projektu, ir uzskatāmi par attiecināmām izmaksām saskaņā ar regulas Nr. 2021/1060 64. panta 1. punkta "c" apakšpunktā ietvertajiem nosacījumiem, ja vien tie nav atgūstami saskaņā ar nacionālajiem tiesību aktiem pievienotās vērtības nodokļa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ietvaros finansējuma saņēmējs izveido projekta vadības un uzraudzības darba grupu, kuras sastāvā pieaicina sadarbības partneru pārstāvjus, atbildīgās iestādes un sadarbības iestādes pārstāvi novērotāja statusā, un  kuras sanāksmes tiek organizētas pēc nepieciešamības, bet ne retāk kā reizi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par projekta vadības un uzraudzības darba grupas izveidošanu ir attiecināma arī uz MK noteikumu 15.2.apakšpunktā noteikto projekta iesniedzēju un, ja nepieciešams, tad atbilstoši precizēt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ietvaros finansējuma saņēmēji izveido projekta vadības un uzraudzības darba grupu, kuras sastāvā pieaicina sadarbības partneru pārstāvjus, atbildīgās iestādes un sadarbības iestādes pārstāvi novērotāja statusā, un  kuras sanāksmes tiek organizētas pēc nepieciešamības, bet ne retāk kā reizi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iepirkumi, kas nepieciešami atbalstāmo darbību īstenošanai, tiek veikti kā sociāli atbildīgi iepirkumi un atbilstoši ES un Latvijas Republikas iepirkumu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MK noteikumu 37.punktā un 31.2.apakšpunktā iekļauto informāciju, ņemot vērā, ka tā daļēji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Īstenojot projektu, finansējuma saņēmējs un sadarbības partneri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attiecināms, projekta ietvaros, veicot iepirkumus, nodrošina vides prasību integrāciju preču un pakalpojumu iepirkumos (zaļais publiskais iepirkums), kā arī izvērtē sociāli atbildīga un inovatīva publiskā iepirkuma nosacījumu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informāciju par sociāli atbildīga iepirkuma nosacījumu piemērošanu, ņemot vērā, ka MK noteikumu projekta 37.1.apakšpunktā noteikts, ka finansējuma saņēmējam jānodrošina, ka iepirkumi, kas nepieciešami atbalstāmo darbību īstenošanai, tiek veikti kā sociāli atbildīgi iepirkumi.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attiecināms, projekta ietvaros, veicot iepirkumus, nodrošina vides prasību integrāciju preču un pakalpojumu iepirkumos (zaļais publiskais iepirkums), kā arī izvērtē inovatīva publiskā iepirkuma nosacījumu piemērošanu.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ietvaros projektu īsteno saskaņā ar vienošanos par projekta īstenošanu, kas noslēgts starp finansējuma saņēmēju un sadarbības iestādi,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SAMP ietvaros tiek plānoti 2 projekti, lūdzam izvērtēt, vai šeit un tālāk tekstā vārds “projekts” nebūtu lietojams daudzskaitļa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attiecināms, projekta ietvaros, veicot iepirkumus, nodrošina vides prasību integrāciju preču un pakalpojumu iepirkumos (zaļais publiskais iepirkums), kā arī izvērtē inovatīva publiskā iepirkuma nosacījumu piemērošanu.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pārskata periodā)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iekavās "projekta pārskata periodā" ar vārdiem "projekta dzīves cikla periodā", kā tas tika noteikts iepriekšējā noteikumu projekta saskaņošanas redakcijā. Skaidrojam, ka atbilstību komercdarbības atbalstu izslēdzošiem kritērijiem ir jānodrošina visā projekta dzīves cikla laikā, nevis pārskata periodā. Lūdzam veikt atbilstošu precizējumu arī noteikumu projekta 42. punktā. Vienlaikus lūdzam anotācijā sniegt skaidrojumu par regulējumu, saskaņā ar kuru tiek noteikts projekta dzīves cikls, kā arī norādīt uz kurām izmaksu pozīcijām šo prasību 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projektam ir saimniecisks raksturs, projektam nav ietekmes uz konkurenci un tirdzniecību Eiropas Savienības iekšējā tirgū, ko vērtē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kļūst par projektu, kuram neizpildās neviens no šo noteikumu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minētajiem kritērijiem,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 punktu, nodrošinot korektas terminoloģijas lietojumu tajā un lai novērstu nekorektas interpretācijas risku tās piemērošanai. Aicinām izvērtēt iespēju izteikt to, piemēram, piedāvātajā redakcijā. Lūdzam attiecīgi precizēt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w:t>
            </w:r>
            <w:r w:rsidR="00000000" w:rsidRPr="00000000" w:rsidDel="00000000">
              <w:rPr>
                <w:b w:val="1"/>
                <w:rtl w:val="0"/>
              </w:rPr>
              <w:t xml:space="preserve">(projekta dzīves cikla laikā)</w:t>
            </w:r>
            <w:r w:rsidR="00000000" w:rsidRPr="00000000" w:rsidDel="00000000">
              <w:rPr>
                <w:rtl w:val="0"/>
              </w:rPr>
              <w:t xml:space="preserve"> kļūst par projektu, kuram neizpildās neviens no šo noteikumu 41.1. un 41.2. apakšpunktā minētajiem kritērijiem, atbalsta saņēmējam ir pienākums atmaksāt sadarbības iestādei saņemto nelikumīgo komercdarbības atbalstu no līdzekļiem, </w:t>
            </w:r>
            <w:r w:rsidR="00000000" w:rsidRPr="00000000" w:rsidDel="00000000">
              <w:rPr>
                <w:b w:val="1"/>
                <w:rtl w:val="0"/>
              </w:rPr>
              <w:t xml:space="preserve">kas ir brīvi no komercdarbības atbalsta</w:t>
            </w:r>
            <w:r w:rsidR="00000000" w:rsidRPr="00000000" w:rsidDel="00000000">
              <w:rPr>
                <w:rtl w:val="0"/>
              </w:rPr>
              <w:t xml:space="preserve">,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ir konstatēts, ka ar saimniecisko darbību nesaistīts projekts tā ieviešanas gaitā vai projekta pārskata periodā (projekta dzīves cikla laikā) kļūst par projektu, kuram neizpildās neviens no šo noteikumu </w:t>
            </w:r>
            <w:r w:rsidR="00000000" w:rsidRPr="00000000" w:rsidDel="00000000">
              <w:rPr>
                <w:rtl w:val="0"/>
              </w:rPr>
              <w:t xml:space="preserve">42.1.</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 minētajiem kritērijiem, atbalsta saņēmējam ir pienākums atmaksāt sadarbības iestādei saņemto nelikumīgo komercdarbības atbalstu no līdzekļiem, kas ir brīvi no komercdarbības atbalsta, atbilstoši Komercdarbības atbalsta kontroles likuma IV un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ir konstatēts, ka ar saimniecisko darbību nesaistīts projekts tā ieviešanas gaitā vai projekta pārskata periodā (projekta dzīves cikla laikā) kļūst par projektu, kas saistīts ar saimniecisku darbību, un projektam neizpildās visi šo noteikumu </w:t>
            </w:r>
            <w:r w:rsidR="00000000" w:rsidRPr="00000000" w:rsidDel="00000000">
              <w:rPr>
                <w:rtl w:val="0"/>
              </w:rPr>
              <w:t xml:space="preserve">41.1.</w:t>
            </w:r>
            <w:r w:rsidR="00000000" w:rsidRPr="00000000" w:rsidDel="00000000">
              <w:rPr>
                <w:rtl w:val="0"/>
              </w:rPr>
              <w:t xml:space="preserve"> un </w:t>
            </w:r>
            <w:r w:rsidR="00000000" w:rsidRPr="00000000" w:rsidDel="00000000">
              <w:rPr>
                <w:rtl w:val="0"/>
              </w:rPr>
              <w:t xml:space="preserve">41.2.</w:t>
            </w:r>
            <w:r w:rsidR="00000000" w:rsidRPr="00000000" w:rsidDel="00000000">
              <w:rPr>
                <w:rtl w:val="0"/>
              </w:rPr>
              <w:t xml:space="preserve"> apakšpunktā minētie kritēriji, atbalsta saņēmējam ir pienākums atmaksāt sadarbības iestādei saņemto nelikumīgo komercdarbības atbalstu no līdzekļiem, kas nav saistīti ar valsts atbalstu,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noteikumu projekta 42. punkta interpretāciju, aicinām aizstāt vārdus un ciparus "kas saistīts ar saimniecisku darbību, un projektam neizpildās visi šo noteikumu 41.1. un 41.2. apakšpunktā minētie kritēriji" ar vārdiem "kuram neizpildās neviens no šo noteikumu 41.1. un 41.2. apakšpunktā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ir konstatēts, ka ar saimniecisko darbību nesaistīts projekts tā ieviešanas gaitā vai projekta pārskata periodā (projekta dzīves cikla laikā) kļūst par projektu, kuram neizpildās neviens no šo noteikumu </w:t>
            </w:r>
            <w:r w:rsidR="00000000" w:rsidRPr="00000000" w:rsidDel="00000000">
              <w:rPr>
                <w:rtl w:val="0"/>
              </w:rPr>
              <w:t xml:space="preserve">42.1.</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 minētajiem kritērijiem, atbalsta saņēmējam ir pienākums atmaksāt sadarbības iestādei saņemto nelikumīgo komercdarbības atbalstu no līdzekļiem, kas ir brīvi no komercdarbības atbalsta, atbilstoši Komercdarbības atbalsta kontroles likuma IV un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virzot uz MK īstenošanas noteikumus, par SAM vai pasākumu īstenošanu, aicinām VM izdevumu ieguvumu analīzi veikt atbilstoši EK izmaksu un ieguvumu analīzes vadlīnijās noteiktajiem principiem, pretējā gadījumā anotācijā minētie aprēķini pēc būtības nav izsekojami.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EK sniegtajam skaidrojumam par EK izstrādātajām izmaksu un ieguvumu analīzes vadlīnijām vadlīnijas nav obligāti piemērojamas, tām ir rekomendējošs raksturs un investīciju ekonomiskā novērtējuma izstrādei var izmantot arī citus instrumentus/metodes.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sniegto skaidrojumu, nodrošinot tā atbilstību noteikumu projekta 41.1. apakšpunktā noteiktajam, ka projektam nav saimnieciska rakstura, ja projekta pārskata periodā ieņēmumi no saimnieciskās darbības atbalstītajā objektā ir mazāki par 50 procentiem no kopējām kultūras institūcijas izmaksām, nevis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ministrijas sagatavotajā izziņas 73.punktā skaidroto </w:t>
            </w:r>
            <w:r w:rsidR="00000000" w:rsidRPr="00000000" w:rsidDel="00000000">
              <w:rPr>
                <w:i w:val="1"/>
                <w:rtl w:val="0"/>
              </w:rPr>
              <w:t xml:space="preserve">"Tāpat kompleksi iepirktas ekspozīcijas vai muzejpedagoģiskās programmas ietvaros, var tikt veikti remonti, piemēram sienu pārkrāsošana, strikti saskaņā ar programmu vai konceptu."</w:t>
            </w:r>
            <w:r w:rsidR="00000000" w:rsidRPr="00000000" w:rsidDel="00000000">
              <w:rPr>
                <w:rtl w:val="0"/>
              </w:rPr>
              <w:t xml:space="preserve">, lai ekspozīcijas izveides līguma ietvaros būtu atbalstāmi arī nelieli telpu pielāgošanas darbi, piemēram, sienu krāsošana, lūdzam atbilstoši papildināt anotāciju, norādot, kādas darbības ir atbalstāmas ekspozīcijas izveides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ietverto skaidrojumu "</w:t>
            </w:r>
            <w:r w:rsidR="00000000" w:rsidRPr="00000000" w:rsidDel="00000000">
              <w:rPr>
                <w:i w:val="1"/>
                <w:u w:val="single"/>
                <w:rtl w:val="0"/>
              </w:rPr>
              <w:t xml:space="preserve">Kultūras nozares kritērijiem pēc kuriem pierāda saimnieciskās darbības neesamību jeb valsts atbalsta neesamību:</w:t>
            </w:r>
            <w:r w:rsidR="00000000" w:rsidRPr="00000000" w:rsidDel="00000000">
              <w:rPr>
                <w:i w:val="1"/>
                <w:u w:val="single"/>
                <w:rtl w:val="0"/>
              </w:rPr>
              <w:t xml:space="preserve">- saimnieciskās darbības kritērijs – ja atbalstītajā kultūras vai dabas mantojuma objektā ieņēmumi no saimnieciskās darbības ir mazāki par 50 % no kopējām kultūras institūcijas izmaksām;</w:t>
            </w:r>
            <w:r w:rsidR="00000000" w:rsidRPr="00000000" w:rsidDel="00000000">
              <w:rPr>
                <w:i w:val="1"/>
                <w:u w:val="single"/>
                <w:rtl w:val="0"/>
              </w:rPr>
              <w:t xml:space="preserve">- vietējās ietekmes kritērijs - ja projekta amortizācijas periodā (projekta dzīves cikla laikā) no visiem kultūras jomā sniegto pakalpojumu saņēmējiem atbalstītajā objektā gadā vairāk nekā 85 % ir Latvijas iedzīvotāji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saimnieciskās darbības neesamību nav iespējams pamatot ar vietējās ietekmes kritēriju un otrādi. Tādējādi nepieciešams precizēt anotāciju, skaidri nodalot, ka, lai izslēgtu komercdarbības atbalstu, pirmkārt, tiek piemērots kritērijs, kas pamato saimnieciskās darbības neesamību, un otrkārt, kritērijs, kas pamato vietējās ietekmes neesamību, ja neizpildās iepriekšminētais saimnieciskās darbības neesamības kritērijs. Vienlaikus vēršam uzmanību, ka atbilstoši noteikumu projekta 41. punkta nosacījumiem, arī minētais saimnieciskās darbības neesamības kritērijs ir jānodrošina visā projekta dzīves cikla laikā. Lūdzam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41.1. un 41.2. apakšpunkts, kā arī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Bērnu muzeja izveidei plānotās darbības iekļauj arī ekspozīcijas izveidi, t.sk. klases iekārtojumu un ekspozīcijas izstrādi, lūdzam skaidrot, vai projekta ietvaros būs attiecināmas arī pamatlīdzekļu iegādes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kompleksi iepērkot (atklāta iepirkuma konkursa ietvaros)  ārpakalpojumā ekspozīcijas konceptu un izveidi, var tik attiecinātas ekspozīcijas izveides, izstādes iekārtošanas izmaksas. Nav attiecināms atsevišķas pamatlīdzekļu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kompleksi iepirktas ekspozīcijas vai muzejpedagoģiskās programmas ietvaros, var tikt veikti remonti, piemēram sienu pārkrāsošana, strikti saskaņā ar programmu vai konceptu.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64.punktā sniegto atbildi </w:t>
            </w:r>
            <w:r w:rsidR="00000000" w:rsidRPr="00000000" w:rsidDel="00000000">
              <w:rPr>
                <w:i w:val="1"/>
                <w:rtl w:val="0"/>
              </w:rPr>
              <w:t xml:space="preserve">"Skaidrojam, ka 4.1.2.1.pasākuma projekta vadības un īstenošanas, personāla atlīdzības nodrošināšanas izmaksas, kurām ir piemērota vienotā likme, atrunātās līgumu izpildes un nodevumu vērtēšanas ietvaros ir paredzētas tikai finansējuma saņēmēju un sadarbības partneru īstenošanās personāla izmaksu segšanai (t.sk. kā nozares speciālistu-konsultantu iesaistei)."</w:t>
            </w:r>
            <w:r w:rsidR="00000000" w:rsidRPr="00000000" w:rsidDel="00000000">
              <w:rPr>
                <w:rtl w:val="0"/>
              </w:rPr>
              <w:t xml:space="preserve">, lūdzam precizēt, vai nozares speciālistu - konsultantu izmaksas tiks finansētas no vienotās likmes projekta vadības un īstenošanas personāla atlīdzības nodrošināšanai neatkarīgi no līguma veida - darba līgums, uzņēmuma līgums vai pakalpojuma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speciālistu - konsultantu izmaksas tiks finansētas no vienotās likmes projekta vadības un īstenošanas nodrošināšanai neatkarīgi no līguma veida - darba līgums, uzņēmuma līgums vai pakalpojuma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“Projekta vadības un īstenošanas, personāla atlīdzības nodrošināšana” precizēt atsauces uz MK noteikumu punktiem, ņemot vērā, ka projekta vadības un īstenošanas personāla izmaksas minētas 27.punktā, savukārt pārējās izmaksas no 28. - 30.punktam.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atrunāts: "4.1.2.1.pasākuma projekta vadības un īstenošanas, personāla atlīdzības nodrošināšana izmaksas, kurām ir piemērota vienotā likme, ietver šādas izmaksas: finansējuma saņēmēja atlīdzības izmaksas par [...] līgumu izpildes un nodevumu vērtēšanu." Lūdzam skaidrot un nepieciešamības gadījumā papildināt anotāciju, vai šeit atrunātās līgumu izpildes un nodevumu vērtēšanas ietvaros ir plānots attiecināt arī nozares speciālistu-konsultantu ārpakalpojumu līgumu izmaksas, kuri tiktu piesaistīti, lai veiktu līgumu nodevumu (piemēram, pētījumu, metodiku u.tml.) saturiskās kvalitātes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4.1.2.1.pasākuma projekta vadības un īstenošanas, personāla atlīdzības nodrošināšanas izmaksas, kurām ir piemērota vienotā likme, atrunātās līgumu izpildes un nodevumu vērtēšanas ietvaros ir paredzētas tikai finansējuma saņēmēju un sadarbības partneru īstenošanās personāla izmaksu segšanai (t.sk. kā nozares speciālistu-konsultantu iesaistei).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 piemēru skaidrots, ko ietver Ministru kabineta noteikumu projekta 26.6.apakšpunktā plānotā joma "veselības veicināšana un primārās slimību profilakses uzlabošana", bet, tā kā piemērā minētā joma (sirds-asinsvadu slimības) nav atrunāta nevienā no 26.punkta apakšpunktiem kā atbalstāmā joma, lūdzam skaidrot, vai šī apakšpunkta ietvaros būs attiecināmi pasākumi bez atbalstāmo jomu ierobežojuma, t.i., visu iespējamo veselības nozaru ietvaros, piemēram, acu vingrinājumi redzes problēmu profilaksei vai izglītojoša lekcija par to, kā veicināt nieru veselību un ieteikumi nierakmeņu slimību profilaksei, un nepieciešamības gadījumā papildināt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26.6. apakšpunktā noteiktā joma “veselības veicināšana un primārās slimību profilakses uzlabošana” plānota kompleksu pasākumu, kuri vērsti uz vairāku jomu aptveršanu veselības veicināšanai vai konkrētu slimību profilaksei, vai specifisku profilakses pasākumu īstenošanai. Piemēram, pasākums onkoloģisko slimību attīstības riska mazināšanai, kurā ietvertas tēmas par veselīgu uzturu, fiziskajām aktivitātēm, alkohola nelietošanu u.tml. vai pasākums par veselības parametru paškontroli sirds un asinsvadu slimību profilaksei (asinsspiediena mērīšana, glikozes līmeņa noteikšana u.tml.). Noteikumu projekta 26. punktā jau ir noteiktas jomas, kas tiek atbalstītas un kas ir saskaņā ar Sabiedrības veselības pamatnostādnēs 2021.-2027. gadam noteikto politikas mērķi un rīcības virzieniem.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ietvaros izveidotās bērnu muzeja klases un ekspozīcijas apmeklējums izglītojamiem būs bez maksas. Papildus lūdzam skaidrot, kā tiks nodrošināta demarkācija ar anotācijā minēto Skola 2030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pasākuma dalībniekiem tiks prasīta samaksa, kas segs tikai daļu no faktiskajām  izmaksām un nepārsniegs 50% no kopējiem iestādes izdevumiem. Attiecībā uz jautājumu par demarkācijas nodrošināšanu ar anotācijā minēto Skola 2030 programmu, skaidrojam, ka atsauce uz “Kompetenču pieeja mācību saturā (Skola2030)” tika veikta, uzsverot, ka izstrādājot Muzeja programmas tiks ņemts vērā atjaunotais mācību saturs, nodrošinot, ka muzejpedogoģiskās programmas atbilst un papildina skolā iegūtās attiecīgā vecuma zināšanas un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36.punktā norādīts, ka Veselības ministrija kā finansējuma saņēmējs projekta ietvaros nodrošina līdzdalību 4.1.2.2. pasākuma “Veselības veicināšanas un slimību profilakses pasākumu īstenošana vietējai sabiedrībai” projektu iesniegumu atlasēs un piedalās uzraudzības pasākumos. Lūdzu attiecīgi papildināt izmaksu uzskaitījumu, ko ietver personāla atlīdzības vienotā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anotācijā iekļautā teksta atkārto MK noteikuma projekta tekstu, lūdzam precizēt arī anotāciju atbilstoši MK noteikumos veiktajiem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6.sadaļu, tostarp "Nevalstiskās organizācijas". Lūdzam papildināt anotāciju ar informāciju par biedrību un nodibinājumu iesaisti, nevalstisko organizāciju iesaisti MK noteikumu projekta izstrādē, lai nodrošinātu atbilstību Ministru prezidenta rezolūcijā*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sabiedrības līdzdalība šim noteikumu projektam nav plānota, jo noteikumu projekts paredz investīcijas ieviešanu saskaņā ar Ministru kabineta 2022.gada 26.maija rīkojumu Nr. 359 "Sabiedrības veselības pamatnostādnes 2021.–2027. gadam" apstiprinātajām Sabiedrības veselības pamatnostādnēm 2021.–2027. gadam, kurām tika nodrošināta sabiedrības līdzdalība.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37.2.apakšpunktā noteikto, lūdzam papildināt anotācijas 8.1.13.apakšnodaļu ar atsauci uz Eiropas Parlamenta un Padomes 2021. gada 24. jūnija Regulu (ES) Nr. 2021/1057, ar ko izveido Eiropas Sociālo fondu Plus (ESF+) un atceļ Regulu (ES) Nr. 1296/2013 un norādot, ka apkopotie dalībnieku dati, izpildot minētās regulas prasības, tiks iesniegti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8.1.16.sadaļu ņemot vērā, ka noteikumu projekta 7.punkts nosaka "</w:t>
            </w:r>
            <w:r w:rsidR="00000000" w:rsidRPr="00000000" w:rsidDel="00000000">
              <w:rPr>
                <w:i w:val="1"/>
                <w:rtl w:val="0"/>
              </w:rPr>
              <w:t xml:space="preserve">pasākuma mērķu grupa ir visi Latvijas iedzīvotāji, īpaši sociālās un teritoriālās atstumtības riskam pakļautie iedzīvotāji, kā piemēram, bērni un jaunieši."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23-TA-1568</w:t>
    </w:r>
    <w:r>
      <w:br/>
    </w:r>
    <w:r w:rsidR="00000000" w:rsidRPr="00000000" w:rsidDel="00000000">
      <w:rPr>
        <w:rtl w:val="0"/>
      </w:rPr>
      <w:t xml:space="preserve">09.11.2023. 19.29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23-TA-1568</w:t>
    </w:r>
    <w:r>
      <w:br/>
    </w:r>
    <w:r w:rsidR="00000000" w:rsidRPr="00000000" w:rsidDel="00000000">
      <w:rPr>
        <w:rtl w:val="0"/>
      </w:rPr>
      <w:t xml:space="preserve">09.11.2023. 19.29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Izziņa_23-TA-1568.docx</dc:title>
</cp:coreProperties>
</file>

<file path=docProps/custom.xml><?xml version="1.0" encoding="utf-8"?>
<Properties xmlns="http://schemas.openxmlformats.org/officeDocument/2006/custom-properties" xmlns:vt="http://schemas.openxmlformats.org/officeDocument/2006/docPropsVTypes"/>
</file>