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22-TA-2229: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līdzdalības pārvērtēšanu valsts sabiedrībā ar ierobežotu atbildību "Latvijas Proves birojs" un tās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pārvērtēšanu valsts sabiedrībā ar ierobežotu atbildību "Latvijas Proves birojs" un tās stratēģisko mērķi"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88.panta otrā daļa nosaka, ka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w:t>
            </w:r>
            <w:r w:rsidR="00000000" w:rsidRPr="00000000" w:rsidDel="00000000">
              <w:rPr>
                <w:u w:val="single"/>
                <w:rtl w:val="0"/>
              </w:rPr>
              <w:t xml:space="preserve">publiska persona konsultējas ar kompetentajām institūcijām konkurences aizsardzības jomā</w:t>
            </w:r>
            <w:r w:rsidR="00000000" w:rsidRPr="00000000" w:rsidDel="00000000">
              <w:rPr>
                <w:rtl w:val="0"/>
              </w:rPr>
              <w:t xml:space="preserve"> un komersantus pārstāvošām biedrībām vai nodibinājumiem, kā arī ievēro komercdarbības atbalsta kontroles jomu regulējošu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informāciju par to, vai ir notikusi konsultēšanās ar Konkurences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88.panta otrajā daļā nav noteikts, kādā kārtībā jāveic konsultēšanās ar kompetentajām institūcijām konkurences aizsardzības jomā un komersantus pārstāvošām biedrībām vai nodibinājumiem. VSIA “Latvijas proves birojs” vērsās biedrībā “Latvijas Tirdzniecības un rūpniecības kamera” (VSIA “Latvijas proves birojs” 2022.gada 20.jūnija vēstule Nr. 4-11-13/2022) un saņēma biedrības “Latvijas Tirdzniecības un rūpniecības kamera” viedokli (minētās biedrības 2022.gada 8.jūlija vēstule Nr.2022/543), kurā netika izteikti iebildumi par publiskas personas līdzdalības saglabāšanu, savukārt Konkurences padomes 2022.gada 20.jūlija atzinums par projektu ir saņemts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vienlaikus ar šo informatīvo ziņojumu saskaņošanai tiek virzīts Ministru kabineta rīkojuma projekts "Par valsts līdzdalības pārvērtēšanu valsts sabiedrībā ar ierobežotu atbildību “Latvijas proves birojs” un tās stratēģisko mērķi" (22-TA-2459).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pārvērtēšanu valsts sabiedrībā ar ierobežotu atbildību "Latvijas Proves birojs" un tās stratēģisko mērķi"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ir secināts, ka “saglabāt valsts līdzdalību VSIA “Latvijas proves birojs”, kas nodrošina nepieciešamos proves darbu pakalpojumus ir stratēģiski izdevīgāk, kā veidot jaunu institūciju (tehnoloģiskās iekārtas, kompetents personāls), pie situācijas, kad tirgus nenodrošina nepieciešamos pakalpojumus”. Pārresoru koordinācijas centrs (turpmāk - PKC) norāda, ka saskaņā ar Valsts pārvaldes iekārtas likuma 88. panta otro daļu līdzdalības izvērtējumā nepieciešams ietvert pietiekami izvērstu ekonomisko izvērtējumu, lai pamatotu, ka citādā veidā nav iespējams efektīvāk, tai skaitā izmaksu efektīvāk, sasniegt šā panta pirmajā daļā noteiktos mērķus. Tāpat arī PKC 2016. gada 30. marta vadlīniju Nr. 1.2-23/2/1 “Valsts līdzdalības vispārējo stratēģisko mērķu noteikšanas vadlīnijas” 34. punktā ir skaidrots, ka, vērtējot katru līdzdalības priekšnosacījumu, publiska persona vienlaikus izvērtē (izņemot Publiskas personas kapitāla daļu un kapitālsabiedrību pārvaldības likuma” 7.panta pirmajā daļā noteiktajā gadījumā) visus iespējamos alternatīvos mehānismus, ar kuriem varētu sasniegt analogus rezultātus, neveicot komercdarbību, kā arī izvērtē iespējamo risinājumu lietderību, ekonomiskos un sociālos ieguvumus, ietekmi uz konkurences veicināšanu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ar attiecīgu  pamatojumu (tai skaitā ekonomisko pamatojumu) informatīvajā ziņojumā iekļautajam secinājumam par to, ka valsts līdzdalības saglabāšana ir izdevīgākais risinājums salīdzinājumā ar citiem. Tāpat PKC vērš uzmanību un aicina izvērtējumā analizēt juridiskā statusa maiņas iespēju, ņemot vērā informatīvajā ziņojumā norādīto, ka  vairums Eiropas Savienības kompetento iestāžu dārgmetālu testēšanas jomā pēc juridiskā statusa ir valsts iestādes vai aģentūras un to sniegtie pakalpojumi ir klasificējami kā publisks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4.nodaļu "Kapitālsabiedrības juridiskā statusa saglabāšanas ekonomiskais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vienlaikus ar šo informatīvo ziņojumu saskaņošanai tiek virzīts Ministru kabineta rīkojuma projekts "Par valsts līdzdalības pārvērtēšanu valsts sabiedrībā ar ierobežotu atbildību “Latvijas proves birojs” un tās stratēģisko mērķi" (22-TA-2459).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pārvērtēšanu valsts sabiedrībā ar ierobežotu atbildību "Latvijas Proves birojs" un tās stratēģisko mērķi"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1.panta pirmās daļas 18.punktu vispārējie stratēģiskie mērķi izriet no tiesību aktiem un politikas plānošanas dokumentiem. Ņemot vērā minēto, lūdzam informatīvo ziņojumu papildināt ar Ministru kabineta sēdes protokollēmuma projektā noteiktā vispārējā stratēģiskā mērķa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3.nodaļu "VSIA “Latvijas proves birojs” noteiktais vispārējais stratēģiskais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pārvērtēšanu valsts sabiedrībā ar ierobežotu atbildību "Latvijas Proves birojs" un tās stratēģisko mērķi"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Publiskas personas kapitāla daļu un kapitālsabiedrību pārvaldības likuma 1. panta pirmās daļas 16. punktā un 57. panta pirmās daļas otrajā punktā noteiktajam nefinanšu mērķu noteikšana ir nozares ministrijas, nevis augstākās lēmējinstitūcijas uzdevums, kas īstenojams stratēģijas izstrādes procesā, PKC aicina izvērtēt nepieciešamību līdzdalības izvērtējumā iekļaut nefinanšu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pārvērtēšanu valsts sabiedrībā ar ierobežotu atbildību "Latvijas Proves birojs" un tās stratēģisko mērķi"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Informatīvajā ziņojumā ir minēti apsvērumi, kurus izvērtējot, tiek noteikts vispārējais stratēģiskais mērķis, tai skaitā vērtēts apsvērums, vai pakalpojumam un precei ir būtiska ietekme uz </w:t>
            </w:r>
            <w:r w:rsidR="00000000" w:rsidRPr="00000000" w:rsidDel="00000000">
              <w:rPr>
                <w:u w:val="single"/>
                <w:rtl w:val="0"/>
              </w:rPr>
              <w:t xml:space="preserve">personas ikdienu un dzīves kvalitāti</w:t>
            </w:r>
            <w:r w:rsidR="00000000" w:rsidRPr="00000000" w:rsidDel="00000000">
              <w:rPr>
                <w:rtl w:val="0"/>
              </w:rPr>
              <w:t xml:space="preserve">. Ņemot vērā VSIA "Latvijas Proves birojs" sniegto pakalpojumu, kā arī dārgmetālu un dārgakmeņu  produkcijas specifiku (tās ietekmi uz personas ikdienu un dzīves kvalitāti), aicinām papildināt Informatīvo ziņojumu ar izvēsrstāku pamatojumu pakalpojuma ietekmei uz minēto apsvērumu, vai arī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22-TA-2229</w:t>
    </w:r>
    <w:r>
      <w:br/>
    </w:r>
    <w:r w:rsidR="00000000" w:rsidRPr="00000000" w:rsidDel="00000000">
      <w:rPr>
        <w:rtl w:val="0"/>
      </w:rPr>
      <w:t xml:space="preserve">29.08.2022. 07.09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22-TA-2229</w:t>
    </w:r>
    <w:r>
      <w:br/>
    </w:r>
    <w:r w:rsidR="00000000" w:rsidRPr="00000000" w:rsidDel="00000000">
      <w:rPr>
        <w:rtl w:val="0"/>
      </w:rPr>
      <w:t xml:space="preserve">29.08.2022. 07.09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Izziņa_22-TA-2229.docx</dc:title>
</cp:coreProperties>
</file>

<file path=docProps/custom.xml><?xml version="1.0" encoding="utf-8"?>
<Properties xmlns="http://schemas.openxmlformats.org/officeDocument/2006/custom-properties" xmlns:vt="http://schemas.openxmlformats.org/officeDocument/2006/docPropsVTypes"/>
</file>